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560" w:lineRule="exact"/>
        <w:rPr>
          <w:rFonts w:ascii="黑体" w:hAnsi="黑体" w:eastAsia="黑体" w:cs="Arial"/>
          <w:kern w:val="0"/>
          <w:szCs w:val="32"/>
        </w:rPr>
      </w:pPr>
      <w:r>
        <w:rPr>
          <w:rFonts w:hint="eastAsia" w:ascii="黑体" w:hAnsi="黑体" w:eastAsia="黑体" w:cs="Arial"/>
          <w:kern w:val="0"/>
          <w:szCs w:val="32"/>
        </w:rPr>
        <w:t>附件4</w:t>
      </w:r>
    </w:p>
    <w:p>
      <w:pPr>
        <w:spacing w:line="560" w:lineRule="exact"/>
        <w:ind w:firstLine="832"/>
        <w:jc w:val="center"/>
        <w:rPr>
          <w:rFonts w:ascii="方正小标宋简体" w:hAnsi="方正小标宋简体" w:eastAsia="方正小标宋简体" w:cs="方正小标宋简体"/>
          <w:spacing w:val="-12"/>
          <w:sz w:val="44"/>
          <w:szCs w:val="44"/>
        </w:rPr>
      </w:pPr>
      <w:r>
        <w:rPr>
          <w:rFonts w:hint="eastAsia" w:ascii="华文中宋" w:hAnsi="华文中宋" w:eastAsia="华文中宋" w:cs="华文中宋"/>
          <w:spacing w:val="-12"/>
          <w:sz w:val="44"/>
          <w:szCs w:val="44"/>
        </w:rPr>
        <w:t>部分不合格项目小知识</w:t>
      </w:r>
    </w:p>
    <w:p>
      <w:pPr>
        <w:pStyle w:val="2"/>
        <w:ind w:left="640" w:firstLine="480"/>
      </w:pPr>
    </w:p>
    <w:p>
      <w:pPr>
        <w:pageBreakBefore w:val="0"/>
        <w:kinsoku/>
        <w:wordWrap/>
        <w:overflowPunct/>
        <w:topLinePunct w:val="0"/>
        <w:autoSpaceDE/>
        <w:autoSpaceDN/>
        <w:bidi w:val="0"/>
        <w:adjustRightInd/>
        <w:snapToGrid/>
        <w:spacing w:line="560" w:lineRule="exact"/>
        <w:ind w:firstLine="643"/>
        <w:textAlignment w:val="auto"/>
        <w:rPr>
          <w:rFonts w:ascii="黑体" w:hAnsi="黑体" w:eastAsia="黑体" w:cs="黑体"/>
          <w:b w:val="0"/>
          <w:bCs w:val="0"/>
          <w:szCs w:val="32"/>
        </w:rPr>
      </w:pPr>
      <w:r>
        <w:rPr>
          <w:rFonts w:hint="eastAsia" w:ascii="黑体" w:hAnsi="黑体" w:eastAsia="黑体" w:cs="黑体"/>
          <w:b w:val="0"/>
          <w:bCs w:val="0"/>
          <w:szCs w:val="32"/>
        </w:rPr>
        <w:t>一、不合格项目小知识</w:t>
      </w:r>
    </w:p>
    <w:p>
      <w:pPr>
        <w:pStyle w:val="4"/>
        <w:pageBreakBefore w:val="0"/>
        <w:widowControl w:val="0"/>
        <w:kinsoku/>
        <w:wordWrap/>
        <w:overflowPunct/>
        <w:topLinePunct w:val="0"/>
        <w:autoSpaceDE/>
        <w:autoSpaceDN/>
        <w:bidi w:val="0"/>
        <w:adjustRightInd/>
        <w:snapToGrid/>
        <w:spacing w:before="0" w:after="0" w:line="560" w:lineRule="exact"/>
        <w:ind w:firstLine="643"/>
        <w:textAlignment w:val="auto"/>
        <w:rPr>
          <w:rFonts w:hint="eastAsia" w:ascii="楷体_GB2312" w:hAnsi="楷体_GB2312" w:eastAsia="楷体_GB2312" w:cs="楷体_GB2312"/>
        </w:rPr>
      </w:pPr>
      <w:r>
        <w:rPr>
          <w:rFonts w:hint="eastAsia" w:ascii="楷体_GB2312" w:hAnsi="楷体_GB2312" w:cs="楷体_GB2312"/>
          <w:lang w:eastAsia="zh-CN"/>
        </w:rPr>
        <w:t>（</w:t>
      </w:r>
      <w:r>
        <w:rPr>
          <w:rFonts w:hint="eastAsia" w:ascii="楷体_GB2312" w:hAnsi="楷体_GB2312" w:eastAsia="楷体_GB2312" w:cs="楷体_GB2312"/>
        </w:rPr>
        <w:t>一</w:t>
      </w:r>
      <w:r>
        <w:rPr>
          <w:rFonts w:hint="eastAsia" w:ascii="楷体_GB2312" w:hAnsi="楷体_GB2312" w:cs="楷体_GB2312"/>
          <w:lang w:eastAsia="zh-CN"/>
        </w:rPr>
        <w:t>）</w:t>
      </w:r>
      <w:r>
        <w:rPr>
          <w:rFonts w:hint="eastAsia" w:ascii="楷体_GB2312" w:hAnsi="楷体_GB2312" w:eastAsia="楷体_GB2312" w:cs="楷体_GB2312"/>
        </w:rPr>
        <w:t>镉</w:t>
      </w:r>
    </w:p>
    <w:p>
      <w:pPr>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rPr>
      </w:pPr>
      <w:r>
        <w:rPr>
          <w:rFonts w:hint="eastAsia" w:ascii="仿宋_GB2312" w:hAnsi="仿宋_GB2312" w:eastAsia="仿宋_GB2312" w:cs="仿宋_GB2312"/>
        </w:rPr>
        <w:t>金属镉毒性很低，但其化合物毒性很大。</w:t>
      </w:r>
      <w:r>
        <w:rPr>
          <w:rFonts w:hint="eastAsia" w:ascii="仿宋_GB2312" w:hAnsi="仿宋_GB2312" w:eastAsia="仿宋_GB2312" w:cs="仿宋_GB2312"/>
          <w:szCs w:val="32"/>
        </w:rPr>
        <w:t>《食品安全国家标准 食品中污染物限量》（GB 2762-2017）</w:t>
      </w:r>
      <w:r>
        <w:rPr>
          <w:rFonts w:hint="eastAsia" w:ascii="仿宋_GB2312" w:hAnsi="仿宋_GB2312" w:eastAsia="仿宋_GB2312" w:cs="仿宋_GB2312"/>
        </w:rPr>
        <w:t>中规定，</w:t>
      </w:r>
      <w:r>
        <w:rPr>
          <w:rFonts w:hint="eastAsia" w:ascii="仿宋_GB2312" w:hAnsi="仿宋_GB2312" w:cs="仿宋_GB2312"/>
          <w:lang w:eastAsia="zh-CN"/>
        </w:rPr>
        <w:t>甲壳类水产动物镉</w:t>
      </w:r>
      <w:r>
        <w:rPr>
          <w:rFonts w:hint="eastAsia" w:ascii="仿宋_GB2312" w:hAnsi="仿宋_GB2312" w:eastAsia="仿宋_GB2312" w:cs="仿宋_GB2312"/>
        </w:rPr>
        <w:t>应≤0.5mg/kg。人体的镉中毒主要是通过消化道与呼吸道摄取被镉污染的水、食物、空气而引起的。镉被人体吸收后，在体内形成镉硫蛋白，通过血液到达全身，并有选择性地蓄积于肾、肝中，对肾脏、肝脏产生危害，还容易造成骨质疏松、变形、关节疼痛等一系列症状，如日本富士山县镉中毒事件的“痛痛病”。</w:t>
      </w:r>
    </w:p>
    <w:p>
      <w:pPr>
        <w:pStyle w:val="4"/>
        <w:pageBreakBefore w:val="0"/>
        <w:widowControl w:val="0"/>
        <w:kinsoku/>
        <w:wordWrap/>
        <w:overflowPunct/>
        <w:topLinePunct w:val="0"/>
        <w:autoSpaceDE/>
        <w:autoSpaceDN/>
        <w:bidi w:val="0"/>
        <w:adjustRightInd/>
        <w:snapToGrid/>
        <w:spacing w:before="0" w:after="0" w:line="560" w:lineRule="exact"/>
        <w:ind w:firstLine="643"/>
        <w:textAlignment w:val="auto"/>
        <w:rPr>
          <w:rFonts w:hint="eastAsia" w:ascii="楷体_GB2312" w:hAnsi="楷体_GB2312" w:eastAsia="楷体_GB2312" w:cs="楷体_GB2312"/>
        </w:rPr>
      </w:pPr>
      <w:r>
        <w:rPr>
          <w:rFonts w:hint="eastAsia" w:ascii="楷体_GB2312" w:hAnsi="楷体_GB2312" w:cs="楷体_GB2312"/>
          <w:lang w:val="en-US" w:eastAsia="zh-CN"/>
        </w:rPr>
        <w:t>（二）</w:t>
      </w:r>
      <w:r>
        <w:rPr>
          <w:rFonts w:hint="eastAsia" w:ascii="楷体_GB2312" w:hAnsi="楷体_GB2312" w:eastAsia="楷体_GB2312" w:cs="楷体_GB2312"/>
        </w:rPr>
        <w:t>氯霉素</w:t>
      </w:r>
    </w:p>
    <w:p>
      <w:pPr>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rPr>
      </w:pPr>
      <w:r>
        <w:rPr>
          <w:rFonts w:hint="eastAsia" w:ascii="仿宋_GB2312" w:hAnsi="仿宋_GB2312" w:eastAsia="仿宋_GB2312" w:cs="仿宋_GB2312"/>
        </w:rPr>
        <w:t>氯霉素是一种杀菌剂，也是高效广谱的抗生素，对革兰氏阳性菌和革兰氏阴性菌均有较好的抑制作用</w:t>
      </w:r>
      <w:r>
        <w:rPr>
          <w:rFonts w:hint="eastAsia" w:ascii="仿宋_GB2312" w:hAnsi="仿宋_GB2312" w:cs="仿宋_GB2312"/>
          <w:lang w:eastAsia="zh-CN"/>
        </w:rPr>
        <w:t>。</w:t>
      </w:r>
      <w:r>
        <w:rPr>
          <w:rFonts w:hint="eastAsia" w:ascii="仿宋_GB2312" w:hAnsi="仿宋" w:eastAsia="仿宋_GB2312"/>
          <w:color w:val="auto"/>
          <w:sz w:val="32"/>
          <w:szCs w:val="32"/>
        </w:rPr>
        <w:t>《中华人民共和国农业农村部公共 第250号》中规定，该类药物为禁用兽药</w:t>
      </w:r>
      <w:r>
        <w:rPr>
          <w:rFonts w:ascii="仿宋_GB2312" w:hAnsi="宋体" w:eastAsia="仿宋_GB2312" w:cs="宋体"/>
          <w:color w:val="auto"/>
          <w:kern w:val="0"/>
          <w:sz w:val="32"/>
          <w:szCs w:val="32"/>
        </w:rPr>
        <w:t>，在动物性食品中不得检出。</w:t>
      </w:r>
      <w:r>
        <w:rPr>
          <w:rFonts w:hint="eastAsia" w:ascii="仿宋_GB2312" w:hAnsi="仿宋_GB2312" w:eastAsia="仿宋_GB2312" w:cs="仿宋_GB2312"/>
          <w:color w:val="auto"/>
        </w:rPr>
        <w:t>长期食用氯霉素</w:t>
      </w:r>
      <w:r>
        <w:rPr>
          <w:rFonts w:hint="eastAsia" w:ascii="仿宋_GB2312" w:hAnsi="仿宋_GB2312" w:eastAsia="仿宋_GB2312" w:cs="仿宋_GB2312"/>
        </w:rPr>
        <w:t>残留超标的食品可能引起肠道菌群失调，导致消化机能紊乱；人体过量摄入氯霉素可引起人肝脏和骨髓造血机能的损害，导致再生障碍性贫血和血小板减少、肝损伤等健康危害。</w:t>
      </w:r>
    </w:p>
    <w:p>
      <w:pPr>
        <w:pageBreakBefore w:val="0"/>
        <w:widowControl w:val="0"/>
        <w:kinsoku/>
        <w:wordWrap/>
        <w:overflowPunct/>
        <w:topLinePunct w:val="0"/>
        <w:autoSpaceDE/>
        <w:autoSpaceDN/>
        <w:bidi w:val="0"/>
        <w:adjustRightInd/>
        <w:snapToGrid/>
        <w:spacing w:line="560" w:lineRule="exact"/>
        <w:ind w:firstLine="643"/>
        <w:textAlignment w:val="auto"/>
        <w:rPr>
          <w:rFonts w:hint="eastAsia" w:ascii="楷体_GB2312" w:hAnsi="楷体" w:eastAsia="楷体_GB2312" w:cs="楷体"/>
          <w:b/>
          <w:bCs/>
          <w:szCs w:val="32"/>
          <w:shd w:val="clear" w:color="auto" w:fill="FFFFFF"/>
        </w:rPr>
      </w:pPr>
      <w:r>
        <w:rPr>
          <w:rFonts w:hint="eastAsia" w:ascii="楷体_GB2312" w:hAnsi="楷体" w:eastAsia="楷体_GB2312" w:cs="楷体"/>
          <w:b/>
          <w:bCs/>
          <w:szCs w:val="32"/>
          <w:shd w:val="clear" w:color="auto" w:fill="FFFFFF"/>
        </w:rPr>
        <w:t>（</w:t>
      </w:r>
      <w:r>
        <w:rPr>
          <w:rFonts w:hint="eastAsia" w:ascii="楷体_GB2312" w:hAnsi="楷体" w:eastAsia="楷体_GB2312" w:cs="楷体"/>
          <w:b/>
          <w:bCs/>
          <w:szCs w:val="32"/>
          <w:shd w:val="clear" w:color="auto" w:fill="FFFFFF"/>
          <w:lang w:eastAsia="zh-CN"/>
        </w:rPr>
        <w:t>三</w:t>
      </w:r>
      <w:r>
        <w:rPr>
          <w:rFonts w:hint="eastAsia" w:ascii="楷体_GB2312" w:hAnsi="楷体" w:eastAsia="楷体_GB2312" w:cs="楷体"/>
          <w:b/>
          <w:bCs/>
          <w:szCs w:val="32"/>
          <w:shd w:val="clear" w:color="auto" w:fill="FFFFFF"/>
        </w:rPr>
        <w:t>）铅</w:t>
      </w:r>
    </w:p>
    <w:p>
      <w:pPr>
        <w:pStyle w:val="2"/>
        <w:pageBreakBefore w:val="0"/>
        <w:widowControl w:val="0"/>
        <w:kinsoku/>
        <w:wordWrap/>
        <w:overflowPunct/>
        <w:topLinePunct w:val="0"/>
        <w:autoSpaceDE/>
        <w:autoSpaceDN/>
        <w:bidi w:val="0"/>
        <w:adjustRightInd/>
        <w:snapToGrid/>
        <w:spacing w:after="0" w:line="560" w:lineRule="exact"/>
        <w:ind w:left="0" w:leftChars="0" w:firstLine="640"/>
        <w:textAlignment w:val="auto"/>
        <w:rPr>
          <w:rFonts w:hint="eastAsia"/>
        </w:rPr>
      </w:pPr>
      <w:r>
        <w:rPr>
          <w:rFonts w:hint="eastAsia" w:ascii="仿宋_GB2312" w:hAnsi="仿宋_GB2312" w:cs="仿宋_GB2312"/>
          <w:sz w:val="32"/>
          <w:szCs w:val="32"/>
        </w:rPr>
        <w:t>铅是一种能够在生物体内蓄积且排除缓慢的重金属污染物。《食品安全国家标准 食品中污染物限量》（GB 2762</w:t>
      </w:r>
      <w:r>
        <w:rPr>
          <w:rFonts w:hint="eastAsia" w:ascii="仿宋_GB2312" w:hAnsi="仿宋_GB2312" w:eastAsia="仿宋_GB2312" w:cs="仿宋_GB2312"/>
          <w:color w:val="0000FF"/>
          <w:szCs w:val="32"/>
        </w:rPr>
        <w:t>-</w:t>
      </w:r>
      <w:r>
        <w:rPr>
          <w:rFonts w:hint="eastAsia" w:ascii="仿宋_GB2312" w:hAnsi="仿宋_GB2312" w:cs="仿宋_GB2312"/>
          <w:sz w:val="32"/>
          <w:szCs w:val="32"/>
        </w:rPr>
        <w:t>2012）中规定，</w:t>
      </w:r>
      <w:r>
        <w:rPr>
          <w:rFonts w:hint="eastAsia" w:ascii="仿宋_GB2312" w:hAnsi="仿宋" w:eastAsia="仿宋_GB2312"/>
          <w:sz w:val="32"/>
          <w:szCs w:val="32"/>
        </w:rPr>
        <w:t>干制蔬菜中的铅(以Pb计)应≤0.1/(1-脱水率)(mg/kg)。</w:t>
      </w:r>
      <w:r>
        <w:rPr>
          <w:rFonts w:hint="eastAsia" w:ascii="仿宋_GB2312" w:hAnsi="仿宋_GB2312" w:cs="仿宋_GB2312"/>
          <w:sz w:val="32"/>
          <w:szCs w:val="32"/>
        </w:rPr>
        <w:t>铅是一种慢性和积累性毒物。若长期或过多摄入铅含量超标的食品，铅会蓄积在体内，可能会影响大脑和神经系统，尤其会对儿童造成智力发育障碍和表现行为异常。重金属铅超标原因主要是环境污染带入原料，说明生产企业对原料把关不严，可能是使用了铅含量超标的原料，也可能是从生产设备迁移入食品的可能。</w:t>
      </w:r>
    </w:p>
    <w:p>
      <w:pPr>
        <w:pStyle w:val="4"/>
        <w:pageBreakBefore w:val="0"/>
        <w:widowControl w:val="0"/>
        <w:numPr>
          <w:ilvl w:val="0"/>
          <w:numId w:val="0"/>
        </w:numPr>
        <w:kinsoku/>
        <w:wordWrap/>
        <w:overflowPunct/>
        <w:topLinePunct w:val="0"/>
        <w:autoSpaceDE/>
        <w:autoSpaceDN/>
        <w:bidi w:val="0"/>
        <w:adjustRightInd/>
        <w:snapToGrid/>
        <w:spacing w:before="0" w:after="0" w:line="560" w:lineRule="exact"/>
        <w:ind w:firstLine="643" w:firstLineChars="200"/>
        <w:textAlignment w:val="auto"/>
      </w:pPr>
      <w:r>
        <w:rPr>
          <w:rFonts w:hint="eastAsia"/>
          <w:lang w:eastAsia="zh-CN"/>
        </w:rPr>
        <w:t>（四）</w:t>
      </w:r>
      <w:r>
        <w:rPr>
          <w:rFonts w:hint="eastAsia"/>
        </w:rPr>
        <w:t>呋喃唑酮代谢物</w:t>
      </w:r>
    </w:p>
    <w:p>
      <w:pPr>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rPr>
      </w:pPr>
      <w:r>
        <w:rPr>
          <w:rFonts w:hint="eastAsia" w:ascii="仿宋_GB2312" w:hAnsi="仿宋_GB2312" w:eastAsia="仿宋_GB2312" w:cs="仿宋_GB2312"/>
          <w:color w:val="auto"/>
        </w:rPr>
        <w:t>硝基呋喃类药物是一种广谱抗生素，对大多数革兰氏阳性菌和革兰氏阴性菌、真菌和原虫等病原体均有杀灭作用。《食品动物中禁止使用的药品及其他化合物清单》（农业农村部公告第250号）中规定，</w:t>
      </w:r>
      <w:r>
        <w:rPr>
          <w:rFonts w:hint="eastAsia" w:ascii="仿宋_GB2312" w:hAnsi="仿宋" w:eastAsia="仿宋_GB2312"/>
          <w:color w:val="auto"/>
          <w:sz w:val="32"/>
          <w:szCs w:val="32"/>
        </w:rPr>
        <w:t>呋喃唑酮为禁止使用的药物，在动物性食品中不得检出。</w:t>
      </w:r>
      <w:r>
        <w:rPr>
          <w:rFonts w:hint="eastAsia" w:ascii="仿宋_GB2312" w:hAnsi="仿宋_GB2312" w:eastAsia="仿宋_GB2312" w:cs="仿宋_GB2312"/>
          <w:color w:val="auto"/>
        </w:rPr>
        <w:t>硝基呋喃类药物及其代谢物可引起溶血性贫血、多发性神经炎、眼</w:t>
      </w:r>
      <w:r>
        <w:rPr>
          <w:rFonts w:hint="eastAsia" w:ascii="仿宋_GB2312" w:hAnsi="仿宋_GB2312" w:eastAsia="仿宋_GB2312" w:cs="仿宋_GB2312"/>
        </w:rPr>
        <w:t>部损害和急性肝坏死等，会对人体健康产生危害。</w:t>
      </w:r>
    </w:p>
    <w:p>
      <w:pPr>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
          <w:b/>
          <w:szCs w:val="32"/>
        </w:rPr>
      </w:pPr>
      <w:r>
        <w:rPr>
          <w:rFonts w:hint="eastAsia" w:ascii="楷体_GB2312" w:hAnsi="楷体" w:eastAsia="楷体_GB2312" w:cs="仿宋_GB2312"/>
          <w:b/>
          <w:szCs w:val="32"/>
        </w:rPr>
        <w:t>（</w:t>
      </w:r>
      <w:r>
        <w:rPr>
          <w:rFonts w:hint="eastAsia" w:ascii="楷体_GB2312" w:hAnsi="楷体" w:eastAsia="楷体_GB2312" w:cs="仿宋_GB2312"/>
          <w:b/>
          <w:szCs w:val="32"/>
          <w:lang w:eastAsia="zh-CN"/>
        </w:rPr>
        <w:t>五</w:t>
      </w:r>
      <w:r>
        <w:rPr>
          <w:rFonts w:hint="eastAsia" w:ascii="楷体_GB2312" w:hAnsi="楷体" w:eastAsia="楷体_GB2312" w:cs="仿宋_GB2312"/>
          <w:b/>
          <w:szCs w:val="32"/>
        </w:rPr>
        <w:t>）恩诺沙星</w:t>
      </w:r>
    </w:p>
    <w:p>
      <w:pPr>
        <w:pageBreakBefore w:val="0"/>
        <w:widowControl w:val="0"/>
        <w:kinsoku/>
        <w:wordWrap/>
        <w:overflowPunct/>
        <w:topLinePunct w:val="0"/>
        <w:autoSpaceDE/>
        <w:autoSpaceDN/>
        <w:bidi w:val="0"/>
        <w:adjustRightInd/>
        <w:snapToGrid/>
        <w:spacing w:line="560" w:lineRule="exact"/>
        <w:ind w:firstLine="563" w:firstLineChars="176"/>
        <w:textAlignment w:val="auto"/>
        <w:rPr>
          <w:rFonts w:hint="eastAsia" w:ascii="仿宋_GB2312" w:hAnsi="仿宋" w:cs="仿宋"/>
          <w:szCs w:val="32"/>
        </w:rPr>
      </w:pPr>
      <w:r>
        <w:rPr>
          <w:rFonts w:hint="eastAsia" w:ascii="仿宋_GB2312" w:hAnsi="仿宋" w:cs="仿宋"/>
          <w:szCs w:val="32"/>
        </w:rPr>
        <w:t>恩诺沙星属于氟喹诺酮类药物，是一类人工合成的广谱抗菌药，用于治疗动物的皮肤感染、呼吸道感染等，是动物专属用药。《食品安全国家标准 食品中兽药最大残留限量》（GB 31650-2019）中规定，恩诺沙星（以恩诺沙星和环丙沙星之和计）可用于牛、羊、猪、兔、禽等食用畜禽及其他动物，</w:t>
      </w:r>
      <w:r>
        <w:rPr>
          <w:rFonts w:hint="eastAsia" w:ascii="仿宋_GB2312" w:hAnsi="仿宋" w:cs="仿宋"/>
          <w:szCs w:val="32"/>
          <w:lang w:eastAsia="zh-CN"/>
        </w:rPr>
        <w:t>鱼类、</w:t>
      </w:r>
      <w:r>
        <w:rPr>
          <w:rFonts w:hint="eastAsia" w:ascii="仿宋_GB2312" w:hAnsi="仿宋" w:cs="仿宋"/>
          <w:szCs w:val="32"/>
        </w:rPr>
        <w:t>其他动物的肌肉及脂肪中的恩诺沙星</w:t>
      </w:r>
      <w:r>
        <w:rPr>
          <w:rFonts w:hint="eastAsia" w:ascii="仿宋_GB2312" w:hAnsi="仿宋" w:cs="仿宋"/>
          <w:szCs w:val="32"/>
          <w:lang w:eastAsia="zh-CN"/>
        </w:rPr>
        <w:t>均应</w:t>
      </w:r>
      <w:r>
        <w:rPr>
          <w:rFonts w:hint="eastAsia" w:ascii="仿宋_GB2312" w:hAnsi="仿宋" w:cs="仿宋"/>
          <w:szCs w:val="32"/>
        </w:rPr>
        <w:t>≤100μg/kg。长期食用恩诺沙星残留超标的食品，对人体健康有一定影响。</w:t>
      </w:r>
    </w:p>
    <w:p>
      <w:pPr>
        <w:pageBreakBefore w:val="0"/>
        <w:kinsoku/>
        <w:wordWrap/>
        <w:overflowPunct/>
        <w:topLinePunct w:val="0"/>
        <w:autoSpaceDE/>
        <w:autoSpaceDN/>
        <w:bidi w:val="0"/>
        <w:adjustRightInd/>
        <w:snapToGrid/>
        <w:spacing w:line="560" w:lineRule="exact"/>
        <w:ind w:firstLine="643" w:firstLineChars="200"/>
        <w:textAlignment w:val="auto"/>
        <w:rPr>
          <w:rFonts w:ascii="楷体_GB2312" w:hAnsi="楷体" w:eastAsia="楷体_GB2312" w:cs="仿宋_GB2312"/>
          <w:b/>
          <w:color w:val="auto"/>
          <w:sz w:val="32"/>
          <w:szCs w:val="32"/>
        </w:rPr>
      </w:pPr>
      <w:r>
        <w:rPr>
          <w:rFonts w:hint="eastAsia" w:ascii="楷体_GB2312" w:hAnsi="楷体" w:eastAsia="楷体_GB2312" w:cs="仿宋_GB2312"/>
          <w:b/>
          <w:color w:val="auto"/>
          <w:sz w:val="32"/>
          <w:szCs w:val="32"/>
        </w:rPr>
        <w:t>（</w:t>
      </w:r>
      <w:r>
        <w:rPr>
          <w:rFonts w:hint="eastAsia" w:ascii="楷体_GB2312" w:hAnsi="楷体" w:eastAsia="楷体_GB2312" w:cs="仿宋_GB2312"/>
          <w:b/>
          <w:color w:val="auto"/>
          <w:sz w:val="32"/>
          <w:szCs w:val="32"/>
          <w:lang w:eastAsia="zh-CN"/>
        </w:rPr>
        <w:t>六</w:t>
      </w:r>
      <w:r>
        <w:rPr>
          <w:rFonts w:hint="eastAsia" w:ascii="楷体_GB2312" w:hAnsi="楷体" w:eastAsia="楷体_GB2312" w:cs="仿宋_GB2312"/>
          <w:b/>
          <w:color w:val="auto"/>
          <w:sz w:val="32"/>
          <w:szCs w:val="32"/>
        </w:rPr>
        <w:t>）</w:t>
      </w:r>
      <w:r>
        <w:rPr>
          <w:rFonts w:hint="eastAsia" w:ascii="楷体_GB2312" w:hAnsi="楷体" w:eastAsia="楷体_GB2312" w:cs="宋体"/>
          <w:b/>
          <w:color w:val="auto"/>
          <w:kern w:val="0"/>
          <w:sz w:val="32"/>
          <w:szCs w:val="32"/>
        </w:rPr>
        <w:t>山梨酸及其钾盐</w:t>
      </w:r>
    </w:p>
    <w:p>
      <w:pPr>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color w:val="auto"/>
          <w:sz w:val="32"/>
          <w:szCs w:val="32"/>
        </w:rPr>
      </w:pPr>
      <w:r>
        <w:rPr>
          <w:rFonts w:hint="eastAsia" w:ascii="仿宋_GB2312" w:hAnsi="仿宋" w:eastAsia="仿宋_GB2312"/>
          <w:color w:val="auto"/>
          <w:sz w:val="32"/>
          <w:szCs w:val="32"/>
        </w:rPr>
        <w:t>山梨酸及山梨酸钾是食品防腐保鲜剂，具有广泛的抑菌效果和防霉性能。《食品安全国家标准 食品添加剂使用标准》（GB 2760-2014）中规定，</w:t>
      </w:r>
      <w:r>
        <w:rPr>
          <w:rFonts w:hint="eastAsia" w:ascii="仿宋_GB2312" w:hAnsi="仿宋"/>
          <w:color w:val="auto"/>
          <w:sz w:val="32"/>
          <w:szCs w:val="32"/>
          <w:lang w:eastAsia="zh-CN"/>
        </w:rPr>
        <w:t>熟肉制品中山梨酸及其钾盐(以山梨酸计)应</w:t>
      </w:r>
      <w:r>
        <w:rPr>
          <w:rFonts w:hint="eastAsia" w:ascii="仿宋_GB2312" w:hAnsi="仿宋" w:cs="仿宋"/>
          <w:color w:val="auto"/>
          <w:szCs w:val="32"/>
        </w:rPr>
        <w:t>≤</w:t>
      </w:r>
      <w:r>
        <w:rPr>
          <w:rFonts w:hint="eastAsia" w:ascii="仿宋_GB2312" w:hAnsi="仿宋" w:cs="仿宋"/>
          <w:color w:val="auto"/>
          <w:szCs w:val="32"/>
          <w:lang w:val="en-US" w:eastAsia="zh-CN"/>
        </w:rPr>
        <w:t>0.075g/kg</w:t>
      </w:r>
      <w:r>
        <w:rPr>
          <w:rFonts w:hint="eastAsia" w:ascii="仿宋_GB2312" w:hAnsi="仿宋" w:eastAsia="仿宋_GB2312"/>
          <w:color w:val="auto"/>
          <w:sz w:val="32"/>
          <w:szCs w:val="32"/>
        </w:rPr>
        <w:t>。山梨酸可以被人体的代谢系统吸收而迅速分解为二氧化碳和水。长期食用山梨酸不合格的食品，可能会对人体的骨骼生长、肾脏、肝脏健康造成一定影响。</w:t>
      </w:r>
    </w:p>
    <w:p>
      <w:pPr>
        <w:pageBreakBefore w:val="0"/>
        <w:widowControl/>
        <w:shd w:val="clear" w:color="auto" w:fill="FEFEFE"/>
        <w:kinsoku/>
        <w:wordWrap/>
        <w:overflowPunct/>
        <w:topLinePunct w:val="0"/>
        <w:autoSpaceDE/>
        <w:autoSpaceDN/>
        <w:bidi w:val="0"/>
        <w:adjustRightInd/>
        <w:snapToGrid/>
        <w:spacing w:line="560" w:lineRule="exact"/>
        <w:textAlignment w:val="auto"/>
        <w:rPr>
          <w:rFonts w:ascii="楷体_GB2312" w:hAnsi="微软雅黑" w:eastAsia="楷体_GB2312" w:cs="宋体"/>
          <w:b/>
          <w:color w:val="000000" w:themeColor="text1"/>
          <w:spacing w:val="23"/>
          <w:kern w:val="0"/>
          <w:sz w:val="32"/>
          <w:szCs w:val="32"/>
          <w14:textFill>
            <w14:solidFill>
              <w14:schemeClr w14:val="tx1"/>
            </w14:solidFill>
          </w14:textFill>
        </w:rPr>
      </w:pPr>
      <w:r>
        <w:rPr>
          <w:rFonts w:hint="eastAsia" w:ascii="楷体_GB2312" w:hAnsi="微软雅黑" w:eastAsia="楷体_GB2312" w:cs="宋体"/>
          <w:b/>
          <w:color w:val="000000" w:themeColor="text1"/>
          <w:spacing w:val="23"/>
          <w:kern w:val="0"/>
          <w:sz w:val="32"/>
          <w:szCs w:val="32"/>
          <w:lang w:eastAsia="zh-CN"/>
          <w14:textFill>
            <w14:solidFill>
              <w14:schemeClr w14:val="tx1"/>
            </w14:solidFill>
          </w14:textFill>
        </w:rPr>
        <w:t>（七）</w:t>
      </w:r>
      <w:r>
        <w:rPr>
          <w:rFonts w:hint="eastAsia" w:ascii="楷体_GB2312" w:hAnsi="微软雅黑" w:eastAsia="楷体_GB2312" w:cs="宋体"/>
          <w:b/>
          <w:color w:val="000000" w:themeColor="text1"/>
          <w:spacing w:val="23"/>
          <w:kern w:val="0"/>
          <w:sz w:val="32"/>
          <w:szCs w:val="32"/>
          <w14:textFill>
            <w14:solidFill>
              <w14:schemeClr w14:val="tx1"/>
            </w14:solidFill>
          </w14:textFill>
        </w:rPr>
        <w:t>丙溴磷</w:t>
      </w:r>
    </w:p>
    <w:p>
      <w:pPr>
        <w:pageBreakBefore w:val="0"/>
        <w:kinsoku/>
        <w:wordWrap/>
        <w:overflowPunct/>
        <w:topLinePunct w:val="0"/>
        <w:autoSpaceDE/>
        <w:autoSpaceDN/>
        <w:bidi w:val="0"/>
        <w:adjustRightInd/>
        <w:snapToGrid/>
        <w:spacing w:line="560" w:lineRule="exact"/>
        <w:ind w:firstLine="640" w:firstLineChars="200"/>
        <w:textAlignment w:val="auto"/>
        <w:outlineLvl w:val="0"/>
        <w:rPr>
          <w:rFonts w:hint="eastAsia" w:ascii="仿宋_GB2312" w:hAnsi="仿宋" w:eastAsia="仿宋_GB2312" w:cs="宋体"/>
          <w:kern w:val="0"/>
          <w:sz w:val="32"/>
          <w:szCs w:val="32"/>
          <w:lang w:val="zh-CN"/>
        </w:rPr>
      </w:pPr>
      <w:r>
        <w:rPr>
          <w:rFonts w:hint="eastAsia" w:ascii="仿宋_GB2312" w:hAnsi="仿宋" w:eastAsia="仿宋_GB2312" w:cs="宋体"/>
          <w:kern w:val="0"/>
          <w:sz w:val="32"/>
          <w:szCs w:val="32"/>
          <w:lang w:val="zh-CN"/>
        </w:rPr>
        <w:t>丙溴磷是一种具有触杀和胃毒作用，专用于杀灭刺吸式口器害虫的超高效有机磷杀虫剂。《食品安全国家标准食品中农药最大残留限量》（GB 2763</w:t>
      </w:r>
      <w:r>
        <w:rPr>
          <w:rFonts w:hint="eastAsia" w:ascii="仿宋_GB2312" w:hAnsi="仿宋" w:cs="宋体"/>
          <w:color w:val="0000FF"/>
          <w:kern w:val="0"/>
          <w:sz w:val="32"/>
          <w:szCs w:val="32"/>
          <w:lang w:val="en-US" w:eastAsia="zh-CN"/>
        </w:rPr>
        <w:t>-</w:t>
      </w:r>
      <w:r>
        <w:rPr>
          <w:rFonts w:hint="eastAsia" w:ascii="仿宋_GB2312" w:hAnsi="仿宋" w:eastAsia="仿宋_GB2312" w:cs="宋体"/>
          <w:kern w:val="0"/>
          <w:sz w:val="32"/>
          <w:szCs w:val="32"/>
          <w:lang w:val="zh-CN"/>
        </w:rPr>
        <w:t>201</w:t>
      </w:r>
      <w:r>
        <w:rPr>
          <w:rFonts w:hint="eastAsia" w:ascii="仿宋_GB2312" w:hAnsi="仿宋" w:cs="宋体"/>
          <w:kern w:val="0"/>
          <w:sz w:val="32"/>
          <w:szCs w:val="32"/>
          <w:lang w:val="en-US" w:eastAsia="zh-CN"/>
        </w:rPr>
        <w:t>9</w:t>
      </w:r>
      <w:r>
        <w:rPr>
          <w:rFonts w:hint="eastAsia" w:ascii="仿宋_GB2312" w:hAnsi="仿宋" w:eastAsia="仿宋_GB2312" w:cs="宋体"/>
          <w:kern w:val="0"/>
          <w:sz w:val="32"/>
          <w:szCs w:val="32"/>
          <w:lang w:val="zh-CN"/>
        </w:rPr>
        <w:t>）中规定，丙溴磷在</w:t>
      </w:r>
      <w:r>
        <w:rPr>
          <w:rFonts w:hint="eastAsia" w:ascii="仿宋_GB2312" w:hAnsi="仿宋" w:cs="宋体"/>
          <w:kern w:val="0"/>
          <w:sz w:val="32"/>
          <w:szCs w:val="32"/>
          <w:lang w:val="zh-CN"/>
        </w:rPr>
        <w:t>橙子</w:t>
      </w:r>
      <w:r>
        <w:rPr>
          <w:rFonts w:hint="eastAsia" w:ascii="仿宋_GB2312" w:hAnsi="仿宋" w:eastAsia="仿宋_GB2312" w:cs="宋体"/>
          <w:kern w:val="0"/>
          <w:sz w:val="32"/>
          <w:szCs w:val="32"/>
          <w:lang w:val="zh-CN"/>
        </w:rPr>
        <w:t>中的最大残留限量为0.2mg/kg。少量的农药残留不会引起人体急性中毒，但长期食用农药残留超标的食品，对人体健康有一定影响。</w:t>
      </w:r>
    </w:p>
    <w:p>
      <w:pPr>
        <w:pageBreakBefore w:val="0"/>
        <w:widowControl/>
        <w:kinsoku/>
        <w:wordWrap/>
        <w:overflowPunct/>
        <w:topLinePunct w:val="0"/>
        <w:autoSpaceDE/>
        <w:autoSpaceDN/>
        <w:bidi w:val="0"/>
        <w:adjustRightInd/>
        <w:snapToGrid/>
        <w:spacing w:line="560" w:lineRule="exact"/>
        <w:ind w:left="0" w:leftChars="0" w:firstLine="643" w:firstLineChars="200"/>
        <w:jc w:val="left"/>
        <w:textAlignment w:val="auto"/>
        <w:rPr>
          <w:rFonts w:ascii="楷体_GB2312" w:hAnsi="宋体" w:eastAsia="楷体_GB2312" w:cs="宋体"/>
          <w:b/>
          <w:kern w:val="0"/>
          <w:sz w:val="32"/>
          <w:szCs w:val="32"/>
        </w:rPr>
      </w:pPr>
      <w:r>
        <w:rPr>
          <w:rFonts w:hint="eastAsia" w:ascii="楷体_GB2312" w:hAnsi="宋体" w:eastAsia="楷体_GB2312" w:cs="宋体"/>
          <w:b/>
          <w:kern w:val="0"/>
          <w:sz w:val="32"/>
          <w:szCs w:val="32"/>
          <w:lang w:eastAsia="zh-CN"/>
        </w:rPr>
        <w:t>（八）</w:t>
      </w:r>
      <w:r>
        <w:rPr>
          <w:rFonts w:ascii="楷体_GB2312" w:hAnsi="宋体" w:eastAsia="楷体_GB2312" w:cs="宋体"/>
          <w:b/>
          <w:kern w:val="0"/>
          <w:sz w:val="32"/>
          <w:szCs w:val="32"/>
        </w:rPr>
        <w:t>地西泮</w:t>
      </w:r>
    </w:p>
    <w:p>
      <w:pPr>
        <w:pageBreakBefore w:val="0"/>
        <w:widowControl/>
        <w:kinsoku/>
        <w:wordWrap/>
        <w:overflowPunct/>
        <w:topLinePunct w:val="0"/>
        <w:autoSpaceDE/>
        <w:autoSpaceDN/>
        <w:bidi w:val="0"/>
        <w:adjustRightInd/>
        <w:snapToGrid/>
        <w:spacing w:line="560" w:lineRule="exact"/>
        <w:jc w:val="left"/>
        <w:textAlignment w:val="auto"/>
        <w:rPr>
          <w:rFonts w:hint="eastAsia" w:ascii="仿宋_GB2312" w:hAnsi="仿宋" w:eastAsia="仿宋_GB2312" w:cs="宋体"/>
          <w:kern w:val="0"/>
          <w:sz w:val="32"/>
          <w:szCs w:val="32"/>
          <w:lang w:val="zh-CN"/>
        </w:rPr>
      </w:pPr>
      <w:r>
        <w:rPr>
          <w:rFonts w:hint="eastAsia" w:ascii="仿宋_GB2312" w:hAnsi="仿宋" w:eastAsia="仿宋_GB2312" w:cs="宋体"/>
          <w:kern w:val="0"/>
          <w:sz w:val="32"/>
          <w:szCs w:val="32"/>
          <w:lang w:val="zh-CN"/>
        </w:rPr>
        <w:t>地西泮又名安定，为镇静剂类药物，主要用于焦虑、镇静催眠，还可用于抗癫痫和抗惊厥。《食品安全国家标准 食品中兽药最大残留限量》（GB 31650-2019）中规定，地西泮在动物性食品中不得检出。地西泮可以降低新鲜活鱼对外界的感知能力，降低新陈代谢，保证其经过运输后仍然鲜活，但地西泮在鱼体内残留是永久性的，它可以通过食物链传递给人类。地西泮超过一定剂量会引起人体嗜睡疲乏、动作失调、精神混乱等症状。</w:t>
      </w:r>
    </w:p>
    <w:p>
      <w:pPr>
        <w:pageBreakBefore w:val="0"/>
        <w:kinsoku/>
        <w:wordWrap/>
        <w:overflowPunct/>
        <w:topLinePunct w:val="0"/>
        <w:autoSpaceDE/>
        <w:autoSpaceDN/>
        <w:bidi w:val="0"/>
        <w:adjustRightInd/>
        <w:snapToGrid/>
        <w:spacing w:line="560" w:lineRule="exact"/>
        <w:ind w:left="0" w:leftChars="0" w:firstLine="643" w:firstLineChars="200"/>
        <w:textAlignment w:val="auto"/>
        <w:rPr>
          <w:rFonts w:hint="eastAsia" w:ascii="楷体_GB2312" w:hAnsi="楷体" w:eastAsia="楷体_GB2312" w:cs="仿宋_GB2312"/>
          <w:b/>
          <w:color w:val="000000" w:themeColor="text1"/>
          <w:sz w:val="32"/>
          <w:szCs w:val="32"/>
          <w:lang w:eastAsia="zh-CN"/>
          <w14:textFill>
            <w14:solidFill>
              <w14:schemeClr w14:val="tx1"/>
            </w14:solidFill>
          </w14:textFill>
        </w:rPr>
      </w:pPr>
      <w:r>
        <w:rPr>
          <w:rFonts w:hint="eastAsia" w:ascii="楷体_GB2312" w:hAnsi="楷体" w:eastAsia="楷体_GB2312" w:cs="仿宋_GB2312"/>
          <w:b/>
          <w:color w:val="000000" w:themeColor="text1"/>
          <w:sz w:val="32"/>
          <w:szCs w:val="32"/>
          <w:lang w:eastAsia="zh-CN"/>
          <w14:textFill>
            <w14:solidFill>
              <w14:schemeClr w14:val="tx1"/>
            </w14:solidFill>
          </w14:textFill>
        </w:rPr>
        <w:t>（九）啶虫脒</w:t>
      </w:r>
    </w:p>
    <w:p>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color w:val="000000"/>
          <w:kern w:val="0"/>
          <w:sz w:val="32"/>
          <w:szCs w:val="32"/>
          <w:lang w:val="zh-CN"/>
        </w:rPr>
        <w:t>啶虫脒属硝基亚甲基杂环类化合物，是一种新型杀虫剂。该产品具有较强的触杀和渗透作用，残效期长，对黄瓜、苹果树、柑橘树的蚜虫有较好的防治效果。</w:t>
      </w:r>
      <w:r>
        <w:rPr>
          <w:rFonts w:hint="eastAsia" w:ascii="仿宋_GB2312" w:hAnsi="仿宋_GB2312" w:eastAsia="仿宋_GB2312" w:cs="仿宋_GB2312"/>
          <w:kern w:val="0"/>
          <w:sz w:val="32"/>
          <w:szCs w:val="32"/>
          <w:lang w:val="zh-CN"/>
        </w:rPr>
        <w:t>《食品安全国家标准食品中农药最大残留限量》（GB 2763</w:t>
      </w:r>
      <w:r>
        <w:rPr>
          <w:rFonts w:hint="eastAsia" w:ascii="仿宋_GB2312" w:hAnsi="仿宋_GB2312" w:cs="仿宋_GB2312"/>
          <w:color w:val="0000FF"/>
          <w:kern w:val="0"/>
          <w:sz w:val="32"/>
          <w:szCs w:val="32"/>
          <w:lang w:val="en-US" w:eastAsia="zh-CN"/>
        </w:rPr>
        <w:t>-</w:t>
      </w:r>
      <w:r>
        <w:rPr>
          <w:rFonts w:hint="eastAsia" w:ascii="仿宋_GB2312" w:hAnsi="仿宋_GB2312" w:eastAsia="仿宋_GB2312" w:cs="仿宋_GB2312"/>
          <w:kern w:val="0"/>
          <w:sz w:val="32"/>
          <w:szCs w:val="32"/>
          <w:lang w:val="zh-CN"/>
        </w:rPr>
        <w:t>201</w:t>
      </w:r>
      <w:r>
        <w:rPr>
          <w:rFonts w:hint="eastAsia" w:ascii="仿宋_GB2312" w:hAnsi="仿宋_GB2312" w:eastAsia="仿宋_GB2312" w:cs="仿宋_GB2312"/>
          <w:kern w:val="0"/>
          <w:sz w:val="32"/>
          <w:szCs w:val="32"/>
          <w:lang w:val="en-US" w:eastAsia="zh-CN"/>
        </w:rPr>
        <w:t>9</w:t>
      </w:r>
      <w:r>
        <w:rPr>
          <w:rFonts w:hint="eastAsia" w:ascii="仿宋_GB2312" w:hAnsi="仿宋_GB2312" w:eastAsia="仿宋_GB2312" w:cs="仿宋_GB2312"/>
          <w:kern w:val="0"/>
          <w:sz w:val="32"/>
          <w:szCs w:val="32"/>
          <w:lang w:val="zh-CN"/>
        </w:rPr>
        <w:t>）中规定，普通白菜中啶虫脒的最大残留限量为</w:t>
      </w:r>
      <w:r>
        <w:rPr>
          <w:rFonts w:hint="eastAsia" w:ascii="仿宋_GB2312" w:hAnsi="仿宋_GB2312" w:eastAsia="仿宋_GB2312" w:cs="仿宋_GB2312"/>
          <w:kern w:val="0"/>
          <w:sz w:val="32"/>
          <w:szCs w:val="32"/>
          <w:lang w:val="en-US" w:eastAsia="zh-CN"/>
        </w:rPr>
        <w:t>1</w:t>
      </w:r>
      <w:r>
        <w:rPr>
          <w:rFonts w:hint="eastAsia" w:ascii="仿宋_GB2312" w:hAnsi="仿宋_GB2312" w:eastAsia="仿宋_GB2312" w:cs="仿宋_GB2312"/>
          <w:kern w:val="0"/>
          <w:sz w:val="32"/>
          <w:szCs w:val="32"/>
          <w:lang w:val="zh-CN"/>
        </w:rPr>
        <w:t>mg/kg。</w:t>
      </w:r>
      <w:r>
        <w:rPr>
          <w:rFonts w:hint="eastAsia" w:ascii="仿宋_GB2312" w:hAnsi="仿宋_GB2312" w:eastAsia="仿宋_GB2312" w:cs="仿宋_GB2312"/>
          <w:color w:val="000000"/>
          <w:kern w:val="0"/>
          <w:sz w:val="32"/>
          <w:szCs w:val="32"/>
          <w:lang w:val="zh-CN"/>
        </w:rPr>
        <w:t>啶虫脒对人畜低毒，少量的农药残留不会引起人体急性中毒，但长期食用农药残留超标的食品，对人体健康有一定影响。</w:t>
      </w:r>
    </w:p>
    <w:p>
      <w:pPr>
        <w:keepNext w:val="0"/>
        <w:keepLines w:val="0"/>
        <w:pageBreakBefore w:val="0"/>
        <w:widowControl w:val="0"/>
        <w:kinsoku/>
        <w:wordWrap/>
        <w:overflowPunct/>
        <w:topLinePunct w:val="0"/>
        <w:autoSpaceDE/>
        <w:autoSpaceDN/>
        <w:bidi w:val="0"/>
        <w:adjustRightInd/>
        <w:snapToGrid/>
        <w:spacing w:line="560" w:lineRule="exact"/>
        <w:ind w:firstLine="482" w:firstLineChars="150"/>
        <w:textAlignment w:val="auto"/>
        <w:rPr>
          <w:rFonts w:ascii="楷体_GB2312" w:hAnsi="楷体" w:eastAsia="楷体_GB2312" w:cs="仿宋_GB2312"/>
          <w:b/>
          <w:sz w:val="32"/>
          <w:szCs w:val="32"/>
        </w:rPr>
      </w:pPr>
      <w:r>
        <w:rPr>
          <w:rFonts w:hint="eastAsia" w:ascii="楷体_GB2312" w:hAnsi="楷体" w:eastAsia="楷体_GB2312" w:cs="仿宋_GB2312"/>
          <w:b/>
          <w:color w:val="000000" w:themeColor="text1"/>
          <w:sz w:val="32"/>
          <w:szCs w:val="32"/>
          <w14:textFill>
            <w14:solidFill>
              <w14:schemeClr w14:val="tx1"/>
            </w14:solidFill>
          </w14:textFill>
        </w:rPr>
        <w:t>（</w:t>
      </w:r>
      <w:r>
        <w:rPr>
          <w:rFonts w:hint="eastAsia" w:ascii="楷体_GB2312" w:hAnsi="楷体" w:eastAsia="楷体_GB2312" w:cs="仿宋_GB2312"/>
          <w:b/>
          <w:color w:val="000000" w:themeColor="text1"/>
          <w:sz w:val="32"/>
          <w:szCs w:val="32"/>
          <w:lang w:eastAsia="zh-CN"/>
          <w14:textFill>
            <w14:solidFill>
              <w14:schemeClr w14:val="tx1"/>
            </w14:solidFill>
          </w14:textFill>
        </w:rPr>
        <w:t>十</w:t>
      </w:r>
      <w:r>
        <w:rPr>
          <w:rFonts w:hint="eastAsia" w:ascii="楷体_GB2312" w:hAnsi="楷体" w:eastAsia="楷体_GB2312" w:cs="仿宋_GB2312"/>
          <w:b/>
          <w:color w:val="000000" w:themeColor="text1"/>
          <w:sz w:val="32"/>
          <w:szCs w:val="32"/>
          <w14:textFill>
            <w14:solidFill>
              <w14:schemeClr w14:val="tx1"/>
            </w14:solidFill>
          </w14:textFill>
        </w:rPr>
        <w:t>）</w:t>
      </w:r>
      <w:r>
        <w:rPr>
          <w:rFonts w:hint="eastAsia" w:ascii="楷体_GB2312" w:hAnsi="楷体" w:eastAsia="楷体_GB2312" w:cs="仿宋_GB2312"/>
          <w:b/>
          <w:sz w:val="32"/>
          <w:szCs w:val="32"/>
        </w:rPr>
        <w:t>二氧化硫残留量</w:t>
      </w:r>
    </w:p>
    <w:p>
      <w:pPr>
        <w:pageBreakBefore w:val="0"/>
        <w:kinsoku/>
        <w:wordWrap/>
        <w:overflowPunct/>
        <w:topLinePunct w:val="0"/>
        <w:autoSpaceDE/>
        <w:autoSpaceDN/>
        <w:bidi w:val="0"/>
        <w:adjustRightInd/>
        <w:snapToGrid/>
        <w:spacing w:line="560" w:lineRule="exact"/>
        <w:ind w:firstLine="640" w:firstLineChars="200"/>
        <w:textAlignment w:val="auto"/>
        <w:rPr>
          <w:rFonts w:ascii="仿宋_GB2312" w:hAnsi="仿宋" w:eastAsia="仿宋_GB2312" w:cs="宋体"/>
          <w:color w:val="000000"/>
          <w:kern w:val="0"/>
          <w:sz w:val="32"/>
          <w:szCs w:val="32"/>
        </w:rPr>
      </w:pPr>
      <w:r>
        <w:rPr>
          <w:rFonts w:hint="eastAsia" w:ascii="仿宋_GB2312" w:hAnsi="仿宋" w:eastAsia="仿宋_GB2312" w:cs="宋体"/>
          <w:color w:val="000000"/>
          <w:kern w:val="0"/>
          <w:sz w:val="32"/>
          <w:szCs w:val="32"/>
        </w:rPr>
        <w:t>食品中的二氧化硫残留通常是指二氧化硫、硫磺以及焦亚硫酸钠、焦亚硫酸钾、亚硫酸钠</w:t>
      </w:r>
      <w:r>
        <w:rPr>
          <w:rFonts w:hint="eastAsia" w:ascii="仿宋_GB2312" w:hAnsi="仿宋" w:eastAsia="仿宋_GB2312" w:cs="宋体"/>
          <w:kern w:val="0"/>
          <w:sz w:val="32"/>
          <w:szCs w:val="32"/>
        </w:rPr>
        <w:t>、亚</w:t>
      </w:r>
      <w:r>
        <w:rPr>
          <w:rFonts w:hint="eastAsia" w:ascii="仿宋_GB2312" w:hAnsi="仿宋" w:eastAsia="仿宋_GB2312" w:cs="宋体"/>
          <w:color w:val="000000"/>
          <w:kern w:val="0"/>
          <w:sz w:val="32"/>
          <w:szCs w:val="32"/>
        </w:rPr>
        <w:t>硫酸氢钠、低亚硫酸钠等无机亚硫酸盐残留的统称。</w:t>
      </w:r>
      <w:r>
        <w:rPr>
          <w:rFonts w:hint="eastAsia" w:ascii="仿宋_GB2312" w:hAnsi="仿宋" w:eastAsia="仿宋_GB2312"/>
          <w:sz w:val="32"/>
          <w:szCs w:val="32"/>
        </w:rPr>
        <w:t>《食品安全国家标准 食品添加剂使用标准》（GB 2760-2014）中规定，蔬菜干制品中二氧化硫残留量应≤0.2g/kg，米粉制品中不得使用二氧化硫。</w:t>
      </w:r>
      <w:r>
        <w:rPr>
          <w:rFonts w:hint="eastAsia" w:ascii="仿宋_GB2312" w:hAnsi="仿宋" w:eastAsia="仿宋_GB2312" w:cs="宋体"/>
          <w:kern w:val="0"/>
          <w:sz w:val="32"/>
          <w:szCs w:val="32"/>
        </w:rPr>
        <w:t>对二氧化硫有过敏反应的人（如哮喘病患者等</w:t>
      </w:r>
      <w:r>
        <w:rPr>
          <w:rFonts w:hint="eastAsia" w:ascii="仿宋_GB2312" w:hAnsi="仿宋" w:eastAsia="仿宋_GB2312" w:cs="宋体"/>
          <w:color w:val="000000"/>
          <w:kern w:val="0"/>
          <w:sz w:val="32"/>
          <w:szCs w:val="32"/>
        </w:rPr>
        <w:t>）</w:t>
      </w:r>
      <w:r>
        <w:rPr>
          <w:rFonts w:hint="eastAsia" w:ascii="仿宋_GB2312" w:hAnsi="仿宋" w:eastAsia="仿宋_GB2312" w:cs="宋体"/>
          <w:kern w:val="0"/>
          <w:sz w:val="32"/>
          <w:szCs w:val="32"/>
        </w:rPr>
        <w:t>若食用二氧化硫超标的食物</w:t>
      </w:r>
      <w:r>
        <w:rPr>
          <w:rFonts w:hint="eastAsia" w:ascii="仿宋_GB2312" w:hAnsi="仿宋" w:eastAsia="仿宋_GB2312" w:cs="宋体"/>
          <w:color w:val="000000"/>
          <w:kern w:val="0"/>
          <w:sz w:val="32"/>
          <w:szCs w:val="32"/>
        </w:rPr>
        <w:t>，可能会出现气喘、头痛或恶心等过敏症状。因此过敏体质等人群应向食物供应者清楚说明自己的情况和需要，进食后如感到不适，应立即就医。</w:t>
      </w:r>
    </w:p>
    <w:p>
      <w:pPr>
        <w:pageBreakBefore w:val="0"/>
        <w:kinsoku/>
        <w:wordWrap/>
        <w:overflowPunct/>
        <w:topLinePunct w:val="0"/>
        <w:autoSpaceDE/>
        <w:autoSpaceDN/>
        <w:bidi w:val="0"/>
        <w:adjustRightInd/>
        <w:snapToGrid/>
        <w:spacing w:line="560" w:lineRule="exact"/>
        <w:ind w:firstLine="643" w:firstLineChars="200"/>
        <w:textAlignment w:val="auto"/>
        <w:rPr>
          <w:rFonts w:ascii="楷体_GB2312" w:hAnsi="楷体" w:eastAsia="楷体_GB2312" w:cs="Arial"/>
          <w:b/>
          <w:sz w:val="32"/>
          <w:szCs w:val="32"/>
          <w:shd w:val="clear" w:color="auto" w:fill="FFFFFF"/>
        </w:rPr>
      </w:pPr>
      <w:r>
        <w:rPr>
          <w:rFonts w:hint="eastAsia" w:ascii="楷体_GB2312" w:hAnsi="楷体" w:eastAsia="楷体_GB2312" w:cs="Arial"/>
          <w:b/>
          <w:sz w:val="32"/>
          <w:szCs w:val="32"/>
          <w:shd w:val="clear" w:color="auto" w:fill="FFFFFF"/>
        </w:rPr>
        <w:t>（</w:t>
      </w:r>
      <w:r>
        <w:rPr>
          <w:rFonts w:hint="eastAsia" w:ascii="楷体_GB2312" w:hAnsi="楷体" w:eastAsia="楷体_GB2312" w:cs="Arial"/>
          <w:b/>
          <w:sz w:val="32"/>
          <w:szCs w:val="32"/>
          <w:shd w:val="clear" w:color="auto" w:fill="FFFFFF"/>
          <w:lang w:eastAsia="zh-CN"/>
        </w:rPr>
        <w:t>十一</w:t>
      </w:r>
      <w:r>
        <w:rPr>
          <w:rFonts w:hint="eastAsia" w:ascii="楷体_GB2312" w:hAnsi="楷体" w:eastAsia="楷体_GB2312" w:cs="Arial"/>
          <w:b/>
          <w:sz w:val="32"/>
          <w:szCs w:val="32"/>
          <w:shd w:val="clear" w:color="auto" w:fill="FFFFFF"/>
        </w:rPr>
        <w:t>）氟苯尼考</w:t>
      </w:r>
    </w:p>
    <w:p>
      <w:pPr>
        <w:pageBreakBefore w:val="0"/>
        <w:kinsoku/>
        <w:wordWrap/>
        <w:overflowPunct/>
        <w:topLinePunct w:val="0"/>
        <w:autoSpaceDE/>
        <w:autoSpaceDN/>
        <w:bidi w:val="0"/>
        <w:adjustRightInd/>
        <w:snapToGrid/>
        <w:spacing w:line="560" w:lineRule="exact"/>
        <w:ind w:firstLine="640" w:firstLineChars="200"/>
        <w:textAlignment w:val="auto"/>
        <w:rPr>
          <w:rFonts w:ascii="仿宋_GB2312" w:hAnsi="仿宋" w:eastAsia="仿宋_GB2312" w:cs="仿宋"/>
          <w:sz w:val="32"/>
          <w:szCs w:val="32"/>
        </w:rPr>
      </w:pPr>
      <w:r>
        <w:rPr>
          <w:rFonts w:hint="eastAsia" w:ascii="仿宋_GB2312" w:hAnsi="仿宋" w:eastAsia="仿宋_GB2312" w:cs="仿宋"/>
          <w:sz w:val="32"/>
          <w:szCs w:val="32"/>
        </w:rPr>
        <w:t>氟苯尼考又称氟甲砜霉素，是农业部批准使用的动物专用抗菌药，主要用于敏感细菌所致的猪、鸡、鱼的细菌性疾病。</w:t>
      </w:r>
      <w:r>
        <w:rPr>
          <w:rFonts w:hint="eastAsia" w:ascii="仿宋_GB2312" w:hAnsi="仿宋" w:eastAsia="仿宋_GB2312"/>
          <w:sz w:val="32"/>
          <w:szCs w:val="32"/>
        </w:rPr>
        <w:t>《食品安全国家标准 食品中兽药最大残留限量》（GB 31650-2019）中</w:t>
      </w:r>
      <w:r>
        <w:rPr>
          <w:rFonts w:hint="eastAsia" w:ascii="仿宋_GB2312" w:hAnsi="仿宋" w:eastAsia="仿宋_GB2312" w:cs="仿宋"/>
          <w:sz w:val="32"/>
          <w:szCs w:val="32"/>
        </w:rPr>
        <w:t>规定，氟苯尼考可用于猪、牛、羊、禽、鱼等，但在产蛋期家禽中禁用（鸡蛋、鹅蛋中不得检出）。正常情况下消费者不必对禽蛋中检出氟苯尼考过于担心，但长期食用氟苯尼考残留超标的蛋品，对人体健康有一定风险。</w:t>
      </w:r>
    </w:p>
    <w:p>
      <w:pPr>
        <w:pageBreakBefore w:val="0"/>
        <w:kinsoku/>
        <w:wordWrap/>
        <w:overflowPunct/>
        <w:topLinePunct w:val="0"/>
        <w:autoSpaceDE/>
        <w:autoSpaceDN/>
        <w:bidi w:val="0"/>
        <w:adjustRightInd/>
        <w:snapToGrid/>
        <w:spacing w:line="560" w:lineRule="exact"/>
        <w:ind w:firstLine="643" w:firstLineChars="200"/>
        <w:textAlignment w:val="auto"/>
        <w:rPr>
          <w:rFonts w:ascii="楷体_GB2312" w:hAnsi="楷体" w:eastAsia="楷体_GB2312" w:cs="Arial"/>
          <w:b/>
          <w:sz w:val="32"/>
          <w:szCs w:val="32"/>
          <w:shd w:val="clear" w:color="auto" w:fill="FFFFFF"/>
        </w:rPr>
      </w:pPr>
      <w:r>
        <w:rPr>
          <w:rFonts w:hint="eastAsia" w:ascii="楷体_GB2312" w:hAnsi="楷体" w:eastAsia="楷体_GB2312" w:cs="Arial"/>
          <w:b/>
          <w:sz w:val="32"/>
          <w:szCs w:val="32"/>
          <w:shd w:val="clear" w:color="auto" w:fill="FFFFFF"/>
        </w:rPr>
        <w:t>（十二）腐霉利</w:t>
      </w:r>
    </w:p>
    <w:p>
      <w:pPr>
        <w:pageBreakBefore w:val="0"/>
        <w:kinsoku/>
        <w:wordWrap/>
        <w:overflowPunct/>
        <w:topLinePunct w:val="0"/>
        <w:autoSpaceDE/>
        <w:autoSpaceDN/>
        <w:bidi w:val="0"/>
        <w:adjustRightInd/>
        <w:snapToGrid/>
        <w:spacing w:line="560" w:lineRule="exact"/>
        <w:ind w:firstLine="640" w:firstLineChars="200"/>
        <w:textAlignment w:val="auto"/>
        <w:rPr>
          <w:rFonts w:ascii="仿宋_GB2312" w:hAnsi="楷体" w:eastAsia="仿宋_GB2312" w:cs="Arial"/>
          <w:b/>
          <w:sz w:val="32"/>
          <w:szCs w:val="32"/>
          <w:shd w:val="clear" w:color="auto" w:fill="FFFFFF"/>
        </w:rPr>
      </w:pPr>
      <w:r>
        <w:rPr>
          <w:rFonts w:hint="eastAsia" w:ascii="仿宋_GB2312" w:hAnsi="仿宋" w:eastAsia="仿宋_GB2312" w:cs="仿宋"/>
          <w:sz w:val="32"/>
          <w:szCs w:val="32"/>
        </w:rPr>
        <w:t>腐霉利是一种低毒内吸性杀菌剂，具有保护和治疗双重作用，主要用于蔬菜及果树的灰霉病防治。《食品安全国家标准 食品中农药最大残留限量》（GB 2763-2019）中规定，韭菜中腐霉利应</w:t>
      </w:r>
      <w:r>
        <w:rPr>
          <w:rFonts w:hint="eastAsia" w:ascii="仿宋_GB2312" w:eastAsia="仿宋_GB2312"/>
          <w:sz w:val="32"/>
          <w:szCs w:val="32"/>
        </w:rPr>
        <w:t>≤</w:t>
      </w:r>
      <w:r>
        <w:rPr>
          <w:rFonts w:hint="eastAsia" w:ascii="仿宋_GB2312" w:hAnsi="仿宋" w:eastAsia="仿宋_GB2312" w:cs="仿宋"/>
          <w:sz w:val="32"/>
          <w:szCs w:val="32"/>
        </w:rPr>
        <w:t>0.2mg/kg。腐霉利对眼睛与皮肤有刺激作用，经口毒性低。少量腐霉利残留不会引起人体急性中毒，但</w:t>
      </w:r>
      <w:r>
        <w:rPr>
          <w:rFonts w:hint="eastAsia" w:ascii="仿宋_GB2312" w:hAnsi="仿宋" w:eastAsia="仿宋_GB2312"/>
          <w:sz w:val="32"/>
          <w:szCs w:val="32"/>
        </w:rPr>
        <w:t>大量摄入</w:t>
      </w:r>
      <w:r>
        <w:rPr>
          <w:rFonts w:hint="eastAsia" w:ascii="仿宋_GB2312" w:hAnsi="仿宋" w:eastAsia="仿宋_GB2312" w:cs="仿宋"/>
          <w:sz w:val="32"/>
          <w:szCs w:val="32"/>
        </w:rPr>
        <w:t>农药残留超标的食品，</w:t>
      </w:r>
      <w:r>
        <w:rPr>
          <w:rFonts w:hint="eastAsia" w:ascii="仿宋_GB2312" w:hAnsi="仿宋" w:eastAsia="仿宋_GB2312"/>
          <w:sz w:val="32"/>
          <w:szCs w:val="32"/>
        </w:rPr>
        <w:t>会损害肝脏、甲状腺和肾脏</w:t>
      </w:r>
      <w:r>
        <w:rPr>
          <w:rFonts w:hint="eastAsia" w:ascii="仿宋_GB2312" w:hAnsi="仿宋" w:eastAsia="仿宋_GB2312" w:cs="仿宋"/>
          <w:sz w:val="32"/>
          <w:szCs w:val="32"/>
        </w:rPr>
        <w:t>。</w:t>
      </w:r>
    </w:p>
    <w:p>
      <w:pPr>
        <w:pageBreakBefore w:val="0"/>
        <w:kinsoku/>
        <w:wordWrap/>
        <w:overflowPunct/>
        <w:topLinePunct w:val="0"/>
        <w:autoSpaceDE/>
        <w:autoSpaceDN/>
        <w:bidi w:val="0"/>
        <w:adjustRightInd/>
        <w:snapToGrid/>
        <w:spacing w:line="560" w:lineRule="exact"/>
        <w:textAlignment w:val="auto"/>
        <w:rPr>
          <w:rFonts w:ascii="楷体_GB2312" w:hAnsi="宋体" w:eastAsia="楷体_GB2312" w:cs="宋体"/>
          <w:b/>
          <w:kern w:val="0"/>
          <w:sz w:val="32"/>
          <w:szCs w:val="32"/>
        </w:rPr>
      </w:pPr>
      <w:r>
        <w:rPr>
          <w:rFonts w:hint="eastAsia" w:ascii="楷体_GB2312" w:hAnsi="宋体" w:eastAsia="楷体_GB2312" w:cs="宋体"/>
          <w:b/>
          <w:kern w:val="0"/>
          <w:sz w:val="32"/>
          <w:szCs w:val="32"/>
        </w:rPr>
        <w:t>（</w:t>
      </w:r>
      <w:r>
        <w:rPr>
          <w:rFonts w:hint="eastAsia" w:ascii="楷体_GB2312" w:hAnsi="宋体" w:eastAsia="楷体_GB2312" w:cs="宋体"/>
          <w:b/>
          <w:kern w:val="0"/>
          <w:sz w:val="32"/>
          <w:szCs w:val="32"/>
          <w:lang w:eastAsia="zh-CN"/>
        </w:rPr>
        <w:t>十三</w:t>
      </w:r>
      <w:r>
        <w:rPr>
          <w:rFonts w:hint="eastAsia" w:ascii="楷体_GB2312" w:hAnsi="宋体" w:eastAsia="楷体_GB2312" w:cs="宋体"/>
          <w:b/>
          <w:kern w:val="0"/>
          <w:sz w:val="32"/>
          <w:szCs w:val="32"/>
        </w:rPr>
        <w:t>）界限指标-偏硅酸</w:t>
      </w:r>
    </w:p>
    <w:p>
      <w:pPr>
        <w:pageBreakBefore w:val="0"/>
        <w:kinsoku/>
        <w:wordWrap/>
        <w:overflowPunct/>
        <w:topLinePunct w:val="0"/>
        <w:autoSpaceDE/>
        <w:autoSpaceDN/>
        <w:bidi w:val="0"/>
        <w:adjustRightInd/>
        <w:snapToGrid/>
        <w:spacing w:line="560" w:lineRule="exact"/>
        <w:ind w:firstLine="640" w:firstLineChars="200"/>
        <w:textAlignment w:val="auto"/>
        <w:rPr>
          <w:rFonts w:ascii="仿宋_GB2312" w:hAnsi="仿宋" w:eastAsia="仿宋_GB2312"/>
          <w:sz w:val="32"/>
          <w:szCs w:val="32"/>
        </w:rPr>
      </w:pPr>
      <w:r>
        <w:rPr>
          <w:rFonts w:ascii="仿宋_GB2312" w:hAnsi="仿宋" w:eastAsia="仿宋_GB2312"/>
          <w:sz w:val="32"/>
          <w:szCs w:val="32"/>
        </w:rPr>
        <w:t>硅是人体所必需的微量元素，它在水中的溶解度很小，一般以偏硅酸的形态存在于水中。偏硅酸易被人体吸收，能有效地维持人体的电解质平衡和生理机能，具有恢复血管弹性、增加皮肤弹性、促进骨骼发育等作用。本次不合格矿泉水偏硅酸的</w:t>
      </w:r>
      <w:r>
        <w:rPr>
          <w:rFonts w:hint="eastAsia" w:ascii="仿宋_GB2312" w:hAnsi="仿宋" w:eastAsia="仿宋_GB2312"/>
          <w:sz w:val="32"/>
          <w:szCs w:val="32"/>
        </w:rPr>
        <w:t>标</w:t>
      </w:r>
      <w:r>
        <w:rPr>
          <w:rFonts w:ascii="仿宋_GB2312" w:hAnsi="仿宋" w:eastAsia="仿宋_GB2312"/>
          <w:sz w:val="32"/>
          <w:szCs w:val="32"/>
        </w:rPr>
        <w:t>示值为</w:t>
      </w:r>
      <w:r>
        <w:rPr>
          <w:rFonts w:hint="eastAsia" w:ascii="仿宋_GB2312" w:hAnsi="仿宋" w:eastAsia="仿宋_GB2312"/>
          <w:sz w:val="32"/>
          <w:szCs w:val="32"/>
        </w:rPr>
        <w:t>25-38mg/L。</w:t>
      </w:r>
      <w:r>
        <w:rPr>
          <w:rFonts w:hint="eastAsia" w:ascii="仿宋_GB2312" w:hAnsi="仿宋" w:eastAsia="仿宋_GB2312" w:cs="仿宋"/>
          <w:sz w:val="32"/>
          <w:szCs w:val="32"/>
        </w:rPr>
        <w:t>偏硅酸小于标示值，不会对人体健康造成直接危害，但有虚假宣传欺骗消费者之嫌。</w:t>
      </w:r>
    </w:p>
    <w:p>
      <w:pPr>
        <w:pageBreakBefore w:val="0"/>
        <w:kinsoku/>
        <w:wordWrap/>
        <w:overflowPunct/>
        <w:topLinePunct w:val="0"/>
        <w:autoSpaceDE/>
        <w:autoSpaceDN/>
        <w:bidi w:val="0"/>
        <w:adjustRightInd/>
        <w:snapToGrid/>
        <w:spacing w:line="560" w:lineRule="exact"/>
        <w:textAlignment w:val="auto"/>
        <w:rPr>
          <w:rFonts w:ascii="楷体_GB2312" w:hAnsi="楷体" w:eastAsia="楷体_GB2312" w:cs="仿宋_GB2312"/>
          <w:b/>
          <w:sz w:val="32"/>
          <w:szCs w:val="32"/>
        </w:rPr>
      </w:pPr>
      <w:r>
        <w:rPr>
          <w:rFonts w:hint="eastAsia" w:ascii="楷体_GB2312" w:hAnsi="楷体" w:eastAsia="楷体_GB2312" w:cs="仿宋_GB2312"/>
          <w:b/>
          <w:color w:val="000000"/>
          <w:sz w:val="32"/>
          <w:szCs w:val="32"/>
        </w:rPr>
        <w:t>（十</w:t>
      </w:r>
      <w:r>
        <w:rPr>
          <w:rFonts w:hint="eastAsia" w:ascii="楷体_GB2312" w:hAnsi="楷体" w:eastAsia="楷体_GB2312" w:cs="仿宋_GB2312"/>
          <w:b/>
          <w:color w:val="000000"/>
          <w:sz w:val="32"/>
          <w:szCs w:val="32"/>
          <w:lang w:eastAsia="zh-CN"/>
        </w:rPr>
        <w:t>四</w:t>
      </w:r>
      <w:r>
        <w:rPr>
          <w:rFonts w:hint="eastAsia" w:ascii="楷体_GB2312" w:hAnsi="楷体" w:eastAsia="楷体_GB2312" w:cs="仿宋_GB2312"/>
          <w:b/>
          <w:color w:val="000000"/>
          <w:sz w:val="32"/>
          <w:szCs w:val="32"/>
        </w:rPr>
        <w:t>）</w:t>
      </w:r>
      <w:r>
        <w:rPr>
          <w:rFonts w:hint="eastAsia" w:ascii="楷体_GB2312" w:hAnsi="楷体" w:eastAsia="楷体_GB2312" w:cs="宋体"/>
          <w:b/>
          <w:color w:val="000000"/>
          <w:kern w:val="0"/>
          <w:sz w:val="32"/>
          <w:szCs w:val="32"/>
        </w:rPr>
        <w:t>铝的残留量</w:t>
      </w:r>
    </w:p>
    <w:p>
      <w:pPr>
        <w:pageBreakBefore w:val="0"/>
        <w:kinsoku/>
        <w:wordWrap/>
        <w:overflowPunct/>
        <w:topLinePunct w:val="0"/>
        <w:autoSpaceDE/>
        <w:autoSpaceDN/>
        <w:bidi w:val="0"/>
        <w:adjustRightInd/>
        <w:snapToGrid/>
        <w:spacing w:line="560" w:lineRule="exact"/>
        <w:ind w:firstLine="640" w:firstLineChars="200"/>
        <w:textAlignment w:val="auto"/>
        <w:rPr>
          <w:rFonts w:ascii="仿宋_GB2312" w:hAnsi="仿宋" w:eastAsia="仿宋_GB2312" w:cs="仿宋_GB2312"/>
          <w:sz w:val="32"/>
          <w:szCs w:val="32"/>
        </w:rPr>
      </w:pPr>
      <w:r>
        <w:rPr>
          <w:rFonts w:hint="eastAsia" w:ascii="仿宋_GB2312" w:hAnsi="仿宋" w:eastAsia="仿宋_GB2312" w:cs="仿宋_GB2312"/>
          <w:sz w:val="32"/>
          <w:szCs w:val="32"/>
        </w:rPr>
        <w:t>铝作为食品添加剂硫酸铝钾/硫酸铝铵的重要成分，经常会添加在食物中作为膨松剂或稳定剂。</w:t>
      </w:r>
      <w:r>
        <w:rPr>
          <w:rFonts w:hint="eastAsia" w:ascii="仿宋_GB2312" w:hAnsi="仿宋" w:eastAsia="仿宋_GB2312"/>
          <w:sz w:val="32"/>
          <w:szCs w:val="32"/>
        </w:rPr>
        <w:t>《食品安全国家标准 食品添加剂使用标准》（GB 2760-2014）中规定，粉条中的铝的残留量(干样品，以Al计)应≤200mg/kg。</w:t>
      </w:r>
      <w:r>
        <w:rPr>
          <w:rFonts w:hint="eastAsia" w:ascii="仿宋_GB2312" w:hAnsi="仿宋"/>
          <w:sz w:val="32"/>
          <w:szCs w:val="32"/>
          <w:lang w:eastAsia="zh-CN"/>
        </w:rPr>
        <w:t>另</w:t>
      </w:r>
      <w:r>
        <w:rPr>
          <w:rFonts w:hint="eastAsia" w:ascii="仿宋_GB2312" w:hAnsi="仿宋" w:eastAsia="仿宋_GB2312"/>
          <w:sz w:val="32"/>
          <w:szCs w:val="32"/>
        </w:rPr>
        <w:t>本次不合格样品标签明示</w:t>
      </w:r>
      <w:r>
        <w:rPr>
          <w:rFonts w:hint="eastAsia" w:ascii="仿宋_GB2312" w:hAnsi="仿宋"/>
          <w:sz w:val="32"/>
          <w:szCs w:val="32"/>
          <w:lang w:eastAsia="zh-CN"/>
        </w:rPr>
        <w:t>不得使用铝类食品添加剂。</w:t>
      </w:r>
      <w:r>
        <w:rPr>
          <w:rFonts w:hint="eastAsia" w:ascii="仿宋_GB2312" w:hAnsi="仿宋" w:eastAsia="仿宋_GB2312" w:cs="仿宋_GB2312"/>
          <w:sz w:val="32"/>
          <w:szCs w:val="32"/>
        </w:rPr>
        <w:t>铝有一定的慢性毒性，摄入铝超标的食品，在体内可造成铝的蓄积，轻者会使食欲减退，引起贫血，重者会表现为神经毒性，使人运动失调、记忆力衰退等。</w:t>
      </w:r>
    </w:p>
    <w:p>
      <w:pPr>
        <w:pageBreakBefore w:val="0"/>
        <w:widowControl/>
        <w:shd w:val="clear" w:color="auto" w:fill="FEFEFE"/>
        <w:kinsoku/>
        <w:wordWrap/>
        <w:overflowPunct/>
        <w:topLinePunct w:val="0"/>
        <w:autoSpaceDE/>
        <w:autoSpaceDN/>
        <w:bidi w:val="0"/>
        <w:adjustRightInd/>
        <w:snapToGrid/>
        <w:spacing w:line="560" w:lineRule="exact"/>
        <w:ind w:left="0" w:leftChars="0" w:firstLine="735" w:firstLineChars="200"/>
        <w:textAlignment w:val="auto"/>
        <w:rPr>
          <w:rFonts w:ascii="楷体_GB2312" w:hAnsi="微软雅黑" w:eastAsia="楷体_GB2312" w:cs="宋体"/>
          <w:b/>
          <w:color w:val="000000" w:themeColor="text1"/>
          <w:spacing w:val="23"/>
          <w:kern w:val="0"/>
          <w:sz w:val="32"/>
          <w:szCs w:val="32"/>
          <w14:textFill>
            <w14:solidFill>
              <w14:schemeClr w14:val="tx1"/>
            </w14:solidFill>
          </w14:textFill>
        </w:rPr>
      </w:pPr>
      <w:r>
        <w:rPr>
          <w:rFonts w:hint="eastAsia" w:ascii="楷体_GB2312" w:hAnsi="微软雅黑" w:eastAsia="楷体_GB2312" w:cs="宋体"/>
          <w:b/>
          <w:color w:val="000000" w:themeColor="text1"/>
          <w:spacing w:val="23"/>
          <w:kern w:val="0"/>
          <w:sz w:val="32"/>
          <w:szCs w:val="32"/>
          <w:lang w:eastAsia="zh-CN"/>
          <w14:textFill>
            <w14:solidFill>
              <w14:schemeClr w14:val="tx1"/>
            </w14:solidFill>
          </w14:textFill>
        </w:rPr>
        <w:t>（十五）</w:t>
      </w:r>
      <w:r>
        <w:rPr>
          <w:rFonts w:hint="eastAsia" w:ascii="楷体_GB2312" w:hAnsi="微软雅黑" w:eastAsia="楷体_GB2312" w:cs="宋体"/>
          <w:b/>
          <w:color w:val="000000" w:themeColor="text1"/>
          <w:spacing w:val="23"/>
          <w:kern w:val="0"/>
          <w:sz w:val="32"/>
          <w:szCs w:val="32"/>
          <w14:textFill>
            <w14:solidFill>
              <w14:schemeClr w14:val="tx1"/>
            </w14:solidFill>
          </w14:textFill>
        </w:rPr>
        <w:t>氯氰菊酯和高效氯氰菊酯</w:t>
      </w:r>
    </w:p>
    <w:p>
      <w:pPr>
        <w:keepNext w:val="0"/>
        <w:keepLines w:val="0"/>
        <w:pageBreakBefore w:val="0"/>
        <w:widowControl/>
        <w:shd w:val="clear" w:color="auto" w:fill="FEFEFE"/>
        <w:kinsoku/>
        <w:wordWrap/>
        <w:overflowPunct/>
        <w:topLinePunct w:val="0"/>
        <w:autoSpaceDE/>
        <w:autoSpaceDN/>
        <w:bidi w:val="0"/>
        <w:adjustRightInd/>
        <w:snapToGrid/>
        <w:spacing w:line="560" w:lineRule="exact"/>
        <w:ind w:left="0" w:leftChars="0" w:firstLine="640" w:firstLineChars="200"/>
        <w:textAlignment w:val="auto"/>
        <w:rPr>
          <w:rFonts w:ascii="仿宋_GB2312" w:hAnsi="仿宋" w:eastAsia="仿宋_GB2312" w:cs="宋体"/>
          <w:kern w:val="0"/>
          <w:sz w:val="32"/>
          <w:szCs w:val="32"/>
          <w:lang w:val="zh-CN"/>
        </w:rPr>
      </w:pPr>
      <w:r>
        <w:rPr>
          <w:rFonts w:hint="eastAsia" w:ascii="仿宋_GB2312" w:hAnsi="仿宋" w:eastAsia="仿宋_GB2312" w:cs="宋体"/>
          <w:kern w:val="0"/>
          <w:sz w:val="32"/>
          <w:szCs w:val="32"/>
          <w:lang w:val="zh-CN"/>
        </w:rPr>
        <w:t>氯氰菊酯和高效氯氰菊酯是一种拟除虫菊酯类杀虫剂，具有广谱、高效、快速的作用特点，对害虫以触杀和胃毒为主。《食品安全国家标准 食品中农药最大残留限量》（GB 2763</w:t>
      </w:r>
      <w:r>
        <w:rPr>
          <w:rFonts w:hint="eastAsia" w:ascii="仿宋_GB2312" w:hAnsi="仿宋" w:eastAsia="仿宋_GB2312" w:cs="宋体"/>
          <w:kern w:val="0"/>
          <w:sz w:val="32"/>
          <w:szCs w:val="32"/>
          <w:lang w:val="en-US" w:eastAsia="zh-CN"/>
        </w:rPr>
        <w:t>-</w:t>
      </w:r>
      <w:r>
        <w:rPr>
          <w:rFonts w:hint="eastAsia" w:ascii="仿宋_GB2312" w:hAnsi="仿宋" w:eastAsia="仿宋_GB2312" w:cs="宋体"/>
          <w:kern w:val="0"/>
          <w:sz w:val="32"/>
          <w:szCs w:val="32"/>
          <w:lang w:val="zh-CN"/>
        </w:rPr>
        <w:t>201</w:t>
      </w:r>
      <w:r>
        <w:rPr>
          <w:rFonts w:hint="eastAsia" w:ascii="仿宋_GB2312" w:hAnsi="仿宋" w:eastAsia="仿宋_GB2312" w:cs="宋体"/>
          <w:kern w:val="0"/>
          <w:sz w:val="32"/>
          <w:szCs w:val="32"/>
          <w:lang w:val="en-US" w:eastAsia="zh-CN"/>
        </w:rPr>
        <w:t>9</w:t>
      </w:r>
      <w:r>
        <w:rPr>
          <w:rFonts w:hint="eastAsia" w:ascii="仿宋_GB2312" w:hAnsi="仿宋" w:eastAsia="仿宋_GB2312" w:cs="宋体"/>
          <w:kern w:val="0"/>
          <w:sz w:val="32"/>
          <w:szCs w:val="32"/>
          <w:lang w:val="zh-CN"/>
        </w:rPr>
        <w:t>）中规定，氯氰菊酯和高效氯氰菊酯在</w:t>
      </w:r>
      <w:r>
        <w:rPr>
          <w:rFonts w:hint="eastAsia" w:ascii="仿宋_GB2312" w:hAnsi="仿宋" w:cs="宋体"/>
          <w:kern w:val="0"/>
          <w:sz w:val="32"/>
          <w:szCs w:val="32"/>
          <w:lang w:val="en-US" w:eastAsia="zh-CN"/>
        </w:rPr>
        <w:t>根茎薯芋</w:t>
      </w:r>
      <w:r>
        <w:rPr>
          <w:rFonts w:hint="eastAsia" w:ascii="仿宋_GB2312" w:hAnsi="仿宋" w:eastAsia="仿宋_GB2312" w:cs="宋体"/>
          <w:kern w:val="0"/>
          <w:sz w:val="32"/>
          <w:szCs w:val="32"/>
          <w:lang w:val="en-US" w:eastAsia="zh-CN"/>
        </w:rPr>
        <w:t>类</w:t>
      </w:r>
      <w:r>
        <w:rPr>
          <w:rFonts w:hint="eastAsia" w:ascii="仿宋_GB2312" w:hAnsi="仿宋" w:cs="宋体"/>
          <w:kern w:val="0"/>
          <w:sz w:val="32"/>
          <w:szCs w:val="32"/>
          <w:lang w:val="en-US" w:eastAsia="zh-CN"/>
        </w:rPr>
        <w:t>中</w:t>
      </w:r>
      <w:r>
        <w:rPr>
          <w:rFonts w:hint="eastAsia" w:ascii="仿宋_GB2312" w:hAnsi="仿宋" w:eastAsia="仿宋_GB2312" w:cs="宋体"/>
          <w:kern w:val="0"/>
          <w:sz w:val="32"/>
          <w:szCs w:val="32"/>
          <w:lang w:val="en-US" w:eastAsia="zh-CN"/>
        </w:rPr>
        <w:t>应</w:t>
      </w:r>
      <w:r>
        <w:rPr>
          <w:rFonts w:hint="eastAsia" w:ascii="仿宋_GB2312" w:hAnsi="仿宋" w:eastAsia="仿宋_GB2312"/>
          <w:sz w:val="32"/>
          <w:szCs w:val="32"/>
        </w:rPr>
        <w:t>≤</w:t>
      </w:r>
      <w:r>
        <w:rPr>
          <w:rFonts w:hint="eastAsia" w:ascii="仿宋_GB2312" w:hAnsi="仿宋" w:cs="宋体"/>
          <w:kern w:val="0"/>
          <w:sz w:val="32"/>
          <w:szCs w:val="32"/>
          <w:lang w:val="en-US" w:eastAsia="zh-CN"/>
        </w:rPr>
        <w:t>0.01</w:t>
      </w:r>
      <w:r>
        <w:rPr>
          <w:rFonts w:hint="eastAsia" w:ascii="仿宋_GB2312" w:hAnsi="仿宋" w:eastAsia="仿宋_GB2312" w:cs="宋体"/>
          <w:kern w:val="0"/>
          <w:sz w:val="32"/>
          <w:szCs w:val="32"/>
          <w:lang w:val="zh-CN"/>
        </w:rPr>
        <w:t>mg/kg。少量的农药残留不会引起人体急性中毒，但长期食用农药残留超标的食品，对人体健康有一定影响。</w:t>
      </w:r>
    </w:p>
    <w:p>
      <w:pPr>
        <w:keepNext w:val="0"/>
        <w:keepLines w:val="0"/>
        <w:pageBreakBefore w:val="0"/>
        <w:kinsoku/>
        <w:wordWrap/>
        <w:overflowPunct/>
        <w:topLinePunct w:val="0"/>
        <w:autoSpaceDE/>
        <w:autoSpaceDN/>
        <w:bidi w:val="0"/>
        <w:adjustRightInd/>
        <w:snapToGrid/>
        <w:spacing w:line="560" w:lineRule="exact"/>
        <w:textAlignment w:val="auto"/>
        <w:rPr>
          <w:rFonts w:ascii="楷体_GB2312" w:hAnsi="宋体" w:eastAsia="楷体_GB2312" w:cs="宋体"/>
          <w:b/>
          <w:kern w:val="0"/>
          <w:sz w:val="32"/>
          <w:szCs w:val="32"/>
        </w:rPr>
      </w:pPr>
      <w:r>
        <w:rPr>
          <w:rFonts w:hint="eastAsia" w:ascii="楷体_GB2312" w:hAnsi="宋体" w:eastAsia="楷体_GB2312" w:cs="宋体"/>
          <w:b/>
          <w:kern w:val="0"/>
          <w:sz w:val="32"/>
          <w:szCs w:val="32"/>
        </w:rPr>
        <w:t>（</w:t>
      </w:r>
      <w:r>
        <w:rPr>
          <w:rFonts w:hint="eastAsia" w:ascii="楷体_GB2312" w:hAnsi="宋体" w:eastAsia="楷体_GB2312" w:cs="宋体"/>
          <w:b/>
          <w:kern w:val="0"/>
          <w:sz w:val="32"/>
          <w:szCs w:val="32"/>
          <w:lang w:eastAsia="zh-CN"/>
        </w:rPr>
        <w:t>十六</w:t>
      </w:r>
      <w:r>
        <w:rPr>
          <w:rFonts w:hint="eastAsia" w:ascii="楷体_GB2312" w:hAnsi="宋体" w:eastAsia="楷体_GB2312" w:cs="宋体"/>
          <w:b/>
          <w:kern w:val="0"/>
          <w:sz w:val="32"/>
          <w:szCs w:val="32"/>
        </w:rPr>
        <w:t>）铜绿假单胞菌</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hAnsi="仿宋" w:eastAsia="仿宋_GB2312" w:cs="宋体"/>
          <w:sz w:val="32"/>
          <w:szCs w:val="32"/>
        </w:rPr>
      </w:pPr>
      <w:r>
        <w:rPr>
          <w:rFonts w:hint="eastAsia" w:ascii="仿宋_GB2312" w:hAnsi="仿宋" w:eastAsia="仿宋_GB2312" w:cs="宋体"/>
          <w:sz w:val="32"/>
          <w:szCs w:val="32"/>
        </w:rPr>
        <w:t>铜绿假单胞菌广泛分布于水、空气、正常人的皮肤、呼吸道和肠道等处，对消毒剂、紫外线等具有较强的抵抗力，是一种条件致病菌。《食品安全国家标准 包装饮用水》（GB 19298-2014）中规定，在5件包装饮用水样品中，铜绿假单胞菌的检测结果均不得超过0CFU/250mL。抵抗力较差的人群若饮用铜绿假单胞菌不合格的瓶（桶）装水会</w:t>
      </w:r>
      <w:r>
        <w:rPr>
          <w:rFonts w:hint="eastAsia" w:ascii="仿宋_GB2312" w:hAnsi="仿宋" w:eastAsia="仿宋_GB2312"/>
          <w:sz w:val="32"/>
          <w:szCs w:val="32"/>
          <w:shd w:val="clear" w:color="auto" w:fill="FFFFFF"/>
        </w:rPr>
        <w:t>容易引起急性肠道炎、脑膜炎、败血症和皮肤炎症等疾病</w:t>
      </w:r>
      <w:r>
        <w:rPr>
          <w:rFonts w:hint="eastAsia" w:ascii="仿宋_GB2312" w:hAnsi="仿宋" w:eastAsia="仿宋_GB2312" w:cs="宋体"/>
          <w:sz w:val="32"/>
          <w:szCs w:val="32"/>
        </w:rPr>
        <w:t>。</w:t>
      </w:r>
    </w:p>
    <w:p>
      <w:pPr>
        <w:pageBreakBefore w:val="0"/>
        <w:kinsoku/>
        <w:wordWrap/>
        <w:overflowPunct/>
        <w:topLinePunct w:val="0"/>
        <w:autoSpaceDE/>
        <w:autoSpaceDN/>
        <w:bidi w:val="0"/>
        <w:adjustRightInd/>
        <w:snapToGrid/>
        <w:spacing w:line="560" w:lineRule="exact"/>
        <w:ind w:firstLine="643" w:firstLineChars="200"/>
        <w:textAlignment w:val="auto"/>
        <w:rPr>
          <w:rFonts w:ascii="楷体_GB2312" w:hAnsi="楷体" w:eastAsia="楷体_GB2312" w:cs="Arial"/>
          <w:b/>
          <w:sz w:val="32"/>
          <w:szCs w:val="32"/>
          <w:shd w:val="clear" w:color="auto" w:fill="FFFFFF"/>
        </w:rPr>
      </w:pPr>
      <w:r>
        <w:rPr>
          <w:rFonts w:hint="eastAsia" w:ascii="楷体_GB2312" w:hAnsi="楷体" w:eastAsia="楷体_GB2312" w:cs="Arial"/>
          <w:b/>
          <w:sz w:val="32"/>
          <w:szCs w:val="32"/>
          <w:shd w:val="clear" w:color="auto" w:fill="FFFFFF"/>
        </w:rPr>
        <w:t>（十</w:t>
      </w:r>
      <w:r>
        <w:rPr>
          <w:rFonts w:hint="eastAsia" w:ascii="楷体_GB2312" w:hAnsi="楷体" w:eastAsia="楷体_GB2312" w:cs="Arial"/>
          <w:b/>
          <w:sz w:val="32"/>
          <w:szCs w:val="32"/>
          <w:shd w:val="clear" w:color="auto" w:fill="FFFFFF"/>
          <w:lang w:eastAsia="zh-CN"/>
        </w:rPr>
        <w:t>七</w:t>
      </w:r>
      <w:r>
        <w:rPr>
          <w:rFonts w:hint="eastAsia" w:ascii="楷体_GB2312" w:hAnsi="楷体" w:eastAsia="楷体_GB2312" w:cs="Arial"/>
          <w:b/>
          <w:sz w:val="32"/>
          <w:szCs w:val="32"/>
          <w:shd w:val="clear" w:color="auto" w:fill="FFFFFF"/>
        </w:rPr>
        <w:t>）氧乐果</w:t>
      </w:r>
    </w:p>
    <w:p>
      <w:pPr>
        <w:pageBreakBefore w:val="0"/>
        <w:kinsoku/>
        <w:wordWrap/>
        <w:overflowPunct/>
        <w:topLinePunct w:val="0"/>
        <w:autoSpaceDE/>
        <w:autoSpaceDN/>
        <w:bidi w:val="0"/>
        <w:adjustRightInd/>
        <w:snapToGrid/>
        <w:spacing w:line="560" w:lineRule="exact"/>
        <w:ind w:firstLine="640" w:firstLineChars="200"/>
        <w:textAlignment w:val="auto"/>
        <w:rPr>
          <w:rFonts w:ascii="仿宋_GB2312" w:hAnsi="楷体" w:eastAsia="仿宋_GB2312" w:cs="Arial"/>
          <w:b/>
          <w:color w:val="auto"/>
          <w:sz w:val="32"/>
          <w:szCs w:val="32"/>
          <w:shd w:val="clear" w:color="auto" w:fill="FFFFFF"/>
        </w:rPr>
      </w:pPr>
      <w:r>
        <w:rPr>
          <w:rFonts w:hint="eastAsia" w:ascii="仿宋_GB2312" w:hAnsi="仿宋" w:eastAsia="仿宋_GB2312"/>
          <w:color w:val="auto"/>
          <w:sz w:val="32"/>
          <w:szCs w:val="32"/>
        </w:rPr>
        <w:t>氧乐果是一种内吸性强，杀虫活性高的杀虫剂。《食品安全国家标准 食品中农药最大残留限量》（GB 2763-2019）中规定，</w:t>
      </w:r>
      <w:r>
        <w:rPr>
          <w:rFonts w:hint="eastAsia" w:ascii="仿宋_GB2312" w:hAnsi="仿宋"/>
          <w:color w:val="auto"/>
          <w:sz w:val="32"/>
          <w:szCs w:val="32"/>
          <w:lang w:eastAsia="zh-CN"/>
        </w:rPr>
        <w:t>茄果类</w:t>
      </w:r>
      <w:r>
        <w:rPr>
          <w:rFonts w:hint="eastAsia" w:ascii="仿宋_GB2312" w:hAnsi="仿宋" w:eastAsia="仿宋_GB2312"/>
          <w:color w:val="auto"/>
          <w:sz w:val="32"/>
          <w:szCs w:val="32"/>
        </w:rPr>
        <w:t>蔬菜中氧乐果残留限量值应≤0.02mg/kg。大部分喷洒的氧乐果会逸散在周围的土壤、大气、水体中，造成生态系统的污染，有可能会对环境生物产生潜在危害；蔬菜、水果中残留的氧乐果进入人体后对体内胆碱酯酶有抑制作用，可能会对人体造成各种急慢性毒性，甚至致癌致突变。</w:t>
      </w:r>
    </w:p>
    <w:p>
      <w:pPr>
        <w:pStyle w:val="8"/>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ascii="黑体" w:hAnsi="黑体" w:eastAsia="黑体" w:cs="仿宋_GB2312"/>
          <w:color w:val="000000"/>
          <w:sz w:val="32"/>
          <w:szCs w:val="32"/>
        </w:rPr>
      </w:pPr>
      <w:r>
        <w:rPr>
          <w:rFonts w:hint="eastAsia" w:ascii="黑体" w:hAnsi="黑体" w:eastAsia="黑体" w:cs="仿宋_GB2312"/>
          <w:color w:val="000000"/>
          <w:sz w:val="32"/>
          <w:szCs w:val="32"/>
        </w:rPr>
        <w:t>二、建议</w:t>
      </w:r>
    </w:p>
    <w:p>
      <w:pPr>
        <w:pStyle w:val="8"/>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707" w:firstLineChars="220"/>
        <w:textAlignment w:val="auto"/>
        <w:rPr>
          <w:rFonts w:ascii="楷体_GB2312" w:hAnsi="楷体" w:eastAsia="楷体_GB2312"/>
          <w:b/>
          <w:sz w:val="32"/>
          <w:szCs w:val="32"/>
        </w:rPr>
      </w:pPr>
      <w:r>
        <w:rPr>
          <w:rFonts w:hint="eastAsia" w:ascii="楷体_GB2312" w:hAnsi="楷体" w:eastAsia="楷体_GB2312"/>
          <w:b/>
          <w:sz w:val="32"/>
          <w:szCs w:val="32"/>
        </w:rPr>
        <w:t>（一）加强原辅料的把控</w:t>
      </w:r>
    </w:p>
    <w:p>
      <w:pPr>
        <w:pStyle w:val="8"/>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ascii="仿宋_GB2312" w:hAnsi="仿宋" w:eastAsia="仿宋_GB2312"/>
          <w:sz w:val="32"/>
          <w:szCs w:val="32"/>
        </w:rPr>
      </w:pPr>
      <w:r>
        <w:rPr>
          <w:rFonts w:hint="eastAsia" w:ascii="仿宋_GB2312" w:hAnsi="仿宋" w:eastAsia="仿宋_GB2312"/>
          <w:sz w:val="32"/>
          <w:szCs w:val="32"/>
        </w:rPr>
        <w:t>食品原料的质量与卫生是食品质量安全的前提。食品生产经营单位应加强对所使用的原材料的质量管理，建立进货查验、索证索票和进货台账制度，查验供货者的许可证和包含必要检验项目的食品合格证明文件，不得采购腐败变质、发霉、质量不新鲜的食品原料，确保各种原辅料的质量符合标准的有关规定和要求。</w:t>
      </w:r>
    </w:p>
    <w:p>
      <w:pPr>
        <w:spacing w:line="560" w:lineRule="exact"/>
        <w:ind w:firstLine="643"/>
        <w:rPr>
          <w:rFonts w:ascii="楷体_GB2312" w:eastAsia="楷体_GB2312"/>
          <w:bCs/>
          <w:color w:val="auto"/>
          <w:highlight w:val="none"/>
        </w:rPr>
      </w:pPr>
      <w:bookmarkStart w:id="0" w:name="_GoBack"/>
      <w:r>
        <w:rPr>
          <w:rFonts w:hint="eastAsia" w:ascii="楷体_GB2312" w:hAnsi="楷体" w:eastAsia="楷体_GB2312"/>
          <w:b/>
          <w:color w:val="auto"/>
          <w:szCs w:val="32"/>
          <w:highlight w:val="none"/>
        </w:rPr>
        <w:t>（二）规范药物使用</w:t>
      </w:r>
    </w:p>
    <w:p>
      <w:pPr>
        <w:spacing w:line="560" w:lineRule="exact"/>
        <w:rPr>
          <w:rFonts w:ascii="仿宋_GB2312" w:hAnsi="仿宋"/>
          <w:color w:val="auto"/>
          <w:szCs w:val="32"/>
          <w:highlight w:val="none"/>
        </w:rPr>
      </w:pPr>
      <w:r>
        <w:rPr>
          <w:rFonts w:hint="eastAsia" w:ascii="仿宋_GB2312" w:hAnsi="仿宋"/>
          <w:color w:val="auto"/>
          <w:szCs w:val="32"/>
          <w:highlight w:val="none"/>
        </w:rPr>
        <w:t>针对种养殖环节，种养殖户应严格按照药物说明书进行规范用药。加大对生产经营人员专业知识的培训，对种养殖基地、农户进行药物使用知识的培训力度，加强种养殖户对不同季节、不同农作物使用农药和畜禽使用兽药情况的了解。同时，建议有关部门加大对深圳各场所农产品的抽检力度，对发现的违法用药行为进行严厉处罚，并进一步加强对非食用物质的监管，加大针对性抽检的力度</w:t>
      </w:r>
      <w:r>
        <w:rPr>
          <w:rFonts w:hint="eastAsia"/>
          <w:color w:val="auto"/>
          <w:highlight w:val="none"/>
        </w:rPr>
        <w:t>。</w:t>
      </w:r>
    </w:p>
    <w:p>
      <w:pPr>
        <w:pStyle w:val="8"/>
        <w:shd w:val="clear" w:color="auto" w:fill="FFFFFF"/>
        <w:spacing w:before="0" w:beforeAutospacing="0" w:after="0" w:afterAutospacing="0" w:line="560" w:lineRule="exact"/>
        <w:ind w:firstLine="643" w:firstLineChars="200"/>
        <w:jc w:val="both"/>
        <w:rPr>
          <w:rStyle w:val="11"/>
          <w:rFonts w:ascii="楷体_GB2312" w:hAnsi="楷体" w:eastAsia="楷体_GB2312"/>
          <w:color w:val="auto"/>
          <w:sz w:val="32"/>
          <w:szCs w:val="32"/>
          <w:highlight w:val="none"/>
        </w:rPr>
      </w:pPr>
      <w:r>
        <w:rPr>
          <w:rStyle w:val="11"/>
          <w:rFonts w:hint="eastAsia" w:ascii="楷体_GB2312" w:hAnsi="楷体" w:eastAsia="楷体_GB2312"/>
          <w:color w:val="auto"/>
          <w:sz w:val="32"/>
          <w:szCs w:val="32"/>
          <w:highlight w:val="none"/>
        </w:rPr>
        <w:t>（</w:t>
      </w:r>
      <w:r>
        <w:rPr>
          <w:rStyle w:val="11"/>
          <w:rFonts w:hint="eastAsia" w:ascii="楷体_GB2312" w:hAnsi="楷体" w:eastAsia="楷体_GB2312"/>
          <w:color w:val="auto"/>
          <w:sz w:val="32"/>
          <w:szCs w:val="32"/>
          <w:highlight w:val="none"/>
          <w:lang w:eastAsia="zh-CN"/>
        </w:rPr>
        <w:t>三</w:t>
      </w:r>
      <w:r>
        <w:rPr>
          <w:rStyle w:val="11"/>
          <w:rFonts w:hint="eastAsia" w:ascii="楷体_GB2312" w:hAnsi="楷体" w:eastAsia="楷体_GB2312"/>
          <w:color w:val="auto"/>
          <w:sz w:val="32"/>
          <w:szCs w:val="32"/>
          <w:highlight w:val="none"/>
        </w:rPr>
        <w:t>）提高食品添加剂安全使用意识</w:t>
      </w:r>
    </w:p>
    <w:p>
      <w:pPr>
        <w:pStyle w:val="8"/>
        <w:shd w:val="clear" w:color="auto" w:fill="FFFFFF"/>
        <w:spacing w:before="0" w:beforeAutospacing="0" w:after="0" w:afterAutospacing="0" w:line="560" w:lineRule="exact"/>
        <w:ind w:firstLine="640" w:firstLineChars="200"/>
        <w:jc w:val="both"/>
        <w:rPr>
          <w:rFonts w:ascii="仿宋_GB2312" w:hAnsi="仿宋" w:eastAsia="仿宋_GB2312"/>
          <w:color w:val="auto"/>
          <w:sz w:val="32"/>
          <w:szCs w:val="32"/>
          <w:highlight w:val="none"/>
        </w:rPr>
      </w:pPr>
      <w:r>
        <w:rPr>
          <w:rFonts w:hint="eastAsia" w:ascii="仿宋_GB2312" w:hAnsi="仿宋" w:eastAsia="仿宋_GB2312"/>
          <w:color w:val="auto"/>
          <w:sz w:val="32"/>
          <w:szCs w:val="32"/>
          <w:highlight w:val="none"/>
        </w:rPr>
        <w:t>部分食品生产经营者为了追求经济效益，对食品添加剂过于依赖，但对食品添加剂使用要求却执行不到位。因此</w:t>
      </w:r>
      <w:r>
        <w:rPr>
          <w:rFonts w:hint="eastAsia" w:ascii="仿宋_GB2312" w:hAnsi="仿宋" w:eastAsia="仿宋_GB2312"/>
          <w:color w:val="auto"/>
          <w:sz w:val="32"/>
          <w:szCs w:val="32"/>
          <w:highlight w:val="none"/>
          <w:lang w:eastAsia="zh-CN"/>
        </w:rPr>
        <w:t>应</w:t>
      </w:r>
      <w:r>
        <w:rPr>
          <w:rFonts w:hint="eastAsia" w:ascii="仿宋_GB2312" w:hAnsi="仿宋" w:eastAsia="仿宋_GB2312"/>
          <w:color w:val="auto"/>
          <w:sz w:val="32"/>
          <w:szCs w:val="32"/>
          <w:highlight w:val="none"/>
        </w:rPr>
        <w:t>落实企业主体，加大对食品生产企业关于食品添加剂的相关法律法规和国家标准知识的宣传力度，进一步宣贯违法添加和滥用食品添加剂行为的危害性以及通过加大惩处等措施来提高食品生产企业食品添加剂安全使用意识。</w:t>
      </w:r>
    </w:p>
    <w:p>
      <w:pPr>
        <w:pStyle w:val="8"/>
        <w:shd w:val="clear" w:color="auto" w:fill="FFFFFF"/>
        <w:spacing w:before="0" w:beforeAutospacing="0" w:after="0" w:afterAutospacing="0" w:line="560" w:lineRule="exact"/>
        <w:ind w:firstLine="643" w:firstLineChars="200"/>
        <w:rPr>
          <w:rFonts w:ascii="楷体_GB2312" w:hAnsi="楷体" w:eastAsia="楷体_GB2312"/>
          <w:b/>
          <w:color w:val="auto"/>
          <w:sz w:val="32"/>
          <w:szCs w:val="32"/>
        </w:rPr>
      </w:pPr>
      <w:r>
        <w:rPr>
          <w:rFonts w:hint="eastAsia" w:ascii="楷体_GB2312" w:hAnsi="楷体" w:eastAsia="楷体_GB2312"/>
          <w:b/>
          <w:color w:val="auto"/>
          <w:sz w:val="32"/>
          <w:szCs w:val="32"/>
        </w:rPr>
        <w:t>（</w:t>
      </w:r>
      <w:r>
        <w:rPr>
          <w:rFonts w:hint="eastAsia" w:ascii="楷体_GB2312" w:hAnsi="楷体" w:eastAsia="楷体_GB2312"/>
          <w:b/>
          <w:color w:val="auto"/>
          <w:sz w:val="32"/>
          <w:szCs w:val="32"/>
          <w:lang w:eastAsia="zh-CN"/>
        </w:rPr>
        <w:t>四</w:t>
      </w:r>
      <w:r>
        <w:rPr>
          <w:rFonts w:hint="eastAsia" w:ascii="楷体_GB2312" w:hAnsi="楷体" w:eastAsia="楷体_GB2312"/>
          <w:b/>
          <w:color w:val="auto"/>
          <w:sz w:val="32"/>
          <w:szCs w:val="32"/>
        </w:rPr>
        <w:t>）加强食品出厂检验</w:t>
      </w:r>
    </w:p>
    <w:p>
      <w:pPr>
        <w:pStyle w:val="8"/>
        <w:shd w:val="clear" w:color="auto" w:fill="FFFFFF"/>
        <w:spacing w:before="0" w:beforeAutospacing="0" w:after="0" w:afterAutospacing="0" w:line="560" w:lineRule="exact"/>
        <w:ind w:firstLine="640" w:firstLineChars="200"/>
        <w:jc w:val="both"/>
        <w:rPr>
          <w:rFonts w:ascii="黑体" w:hAnsi="黑体" w:eastAsia="黑体" w:cs="仿宋_GB2312"/>
          <w:color w:val="auto"/>
          <w:sz w:val="32"/>
          <w:szCs w:val="32"/>
        </w:rPr>
      </w:pPr>
      <w:r>
        <w:rPr>
          <w:rFonts w:hint="eastAsia" w:eastAsia="仿宋_GB2312"/>
          <w:color w:val="auto"/>
          <w:sz w:val="32"/>
          <w:szCs w:val="32"/>
        </w:rPr>
        <w:t>食品生产企业要强化重视出厂检验的意识，制定切合自身且不断完善的出厂检验制度；建立完善的检测条件针对自身产品进行日常监管，制定出厂检验计划并严格执行，确保生产合格的产品；加强对生产的成品的检测频率，进行自检或送往具有相关资质的检测机构进行检测；建立健全产品召回机制，应对突发产品质量问题。</w:t>
      </w:r>
    </w:p>
    <w:bookmarkEnd w:id="0"/>
    <w:p>
      <w:pPr>
        <w:pStyle w:val="8"/>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jc w:val="both"/>
        <w:textAlignment w:val="auto"/>
        <w:rPr>
          <w:rFonts w:hint="eastAsia" w:ascii="仿宋_GB2312" w:hAnsi="仿宋_GB2312" w:cs="仿宋_GB2312"/>
          <w:sz w:val="32"/>
          <w:szCs w:val="32"/>
        </w:rPr>
      </w:pPr>
    </w:p>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Calibri Light">
    <w:panose1 w:val="020F0302020204030204"/>
    <w:charset w:val="00"/>
    <w:family w:val="swiss"/>
    <w:pitch w:val="default"/>
    <w:sig w:usb0="A00002EF" w:usb1="4000207B" w:usb2="00000000" w:usb3="00000000" w:csb0="2000019F" w:csb1="00000000"/>
  </w:font>
  <w:font w:name="方正小标宋简体">
    <w:altName w:val="Arial Unicode MS"/>
    <w:panose1 w:val="03000509000000000000"/>
    <w:charset w:val="86"/>
    <w:family w:val="script"/>
    <w:pitch w:val="default"/>
    <w:sig w:usb0="00000000" w:usb1="00000000" w:usb2="00000010" w:usb3="00000000" w:csb0="00040000"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80F3C52" w:usb2="00000016" w:usb3="00000000" w:csb0="0004001F" w:csb1="00000000"/>
  </w:font>
  <w:font w:name="Arial Unicode MS">
    <w:panose1 w:val="020B0604020202020204"/>
    <w:charset w:val="86"/>
    <w:family w:val="auto"/>
    <w:pitch w:val="default"/>
    <w:sig w:usb0="FFFFFFFF" w:usb1="E9FFFFFF" w:usb2="0000003F" w:usb3="00000000" w:csb0="603F01FF" w:csb1="FFFF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0D4506"/>
    <w:rsid w:val="006B1DCC"/>
    <w:rsid w:val="00724BD2"/>
    <w:rsid w:val="008D6C99"/>
    <w:rsid w:val="00B977A2"/>
    <w:rsid w:val="010D4506"/>
    <w:rsid w:val="091C5D20"/>
    <w:rsid w:val="0EA93008"/>
    <w:rsid w:val="1162065F"/>
    <w:rsid w:val="11B32DA0"/>
    <w:rsid w:val="176818BF"/>
    <w:rsid w:val="199008F8"/>
    <w:rsid w:val="1B042E72"/>
    <w:rsid w:val="231A399D"/>
    <w:rsid w:val="249A66FD"/>
    <w:rsid w:val="25D84592"/>
    <w:rsid w:val="274815F0"/>
    <w:rsid w:val="27D171E0"/>
    <w:rsid w:val="36A26439"/>
    <w:rsid w:val="3E88008E"/>
    <w:rsid w:val="4848609B"/>
    <w:rsid w:val="533A17A5"/>
    <w:rsid w:val="59EA54F5"/>
    <w:rsid w:val="5E214E94"/>
    <w:rsid w:val="5E7004E1"/>
    <w:rsid w:val="63E10B0C"/>
    <w:rsid w:val="6801069F"/>
    <w:rsid w:val="69130912"/>
    <w:rsid w:val="69CB77D8"/>
    <w:rsid w:val="6A323B2C"/>
    <w:rsid w:val="6ECD36FF"/>
    <w:rsid w:val="72A04A1F"/>
    <w:rsid w:val="72F24D9D"/>
    <w:rsid w:val="738026E3"/>
    <w:rsid w:val="763955BF"/>
    <w:rsid w:val="77FC16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ind w:firstLine="640" w:firstLineChars="200"/>
      <w:jc w:val="both"/>
    </w:pPr>
    <w:rPr>
      <w:rFonts w:ascii="Calibri" w:hAnsi="Calibri" w:eastAsia="仿宋_GB2312" w:cs="Times New Roman"/>
      <w:kern w:val="2"/>
      <w:sz w:val="32"/>
      <w:szCs w:val="22"/>
      <w:lang w:val="en-US" w:eastAsia="zh-CN" w:bidi="ar-SA"/>
    </w:rPr>
  </w:style>
  <w:style w:type="paragraph" w:styleId="4">
    <w:name w:val="heading 1"/>
    <w:basedOn w:val="1"/>
    <w:next w:val="1"/>
    <w:qFormat/>
    <w:uiPriority w:val="0"/>
    <w:pPr>
      <w:keepNext/>
      <w:keepLines/>
      <w:spacing w:before="340" w:after="330" w:line="576" w:lineRule="auto"/>
      <w:outlineLvl w:val="0"/>
    </w:pPr>
    <w:rPr>
      <w:rFonts w:eastAsia="楷体_GB2312"/>
      <w:b/>
      <w:kern w:val="44"/>
    </w:rPr>
  </w:style>
  <w:style w:type="paragraph" w:styleId="5">
    <w:name w:val="heading 2"/>
    <w:basedOn w:val="1"/>
    <w:next w:val="1"/>
    <w:link w:val="16"/>
    <w:semiHidden/>
    <w:unhideWhenUsed/>
    <w:qFormat/>
    <w:uiPriority w:val="0"/>
    <w:pPr>
      <w:keepNext/>
      <w:keepLines/>
      <w:spacing w:before="260" w:after="260" w:line="416" w:lineRule="auto"/>
      <w:outlineLvl w:val="1"/>
    </w:pPr>
    <w:rPr>
      <w:rFonts w:asciiTheme="majorHAnsi" w:hAnsiTheme="majorHAnsi" w:eastAsiaTheme="majorEastAsia" w:cstheme="majorBidi"/>
      <w:b/>
      <w:bCs/>
      <w:szCs w:val="32"/>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qFormat/>
    <w:uiPriority w:val="0"/>
    <w:pPr>
      <w:spacing w:before="0"/>
      <w:ind w:left="420" w:leftChars="200" w:firstLine="420"/>
    </w:pPr>
  </w:style>
  <w:style w:type="paragraph" w:styleId="3">
    <w:name w:val="Body Text Indent"/>
    <w:basedOn w:val="1"/>
    <w:qFormat/>
    <w:uiPriority w:val="0"/>
    <w:pPr>
      <w:spacing w:before="120" w:after="120"/>
      <w:ind w:firstLine="480"/>
    </w:pPr>
    <w:rPr>
      <w:rFonts w:ascii="宋体" w:hAnsi="宋体"/>
      <w:sz w:val="24"/>
      <w:szCs w:val="20"/>
    </w:rPr>
  </w:style>
  <w:style w:type="paragraph" w:styleId="6">
    <w:name w:val="footer"/>
    <w:basedOn w:val="1"/>
    <w:link w:val="15"/>
    <w:qFormat/>
    <w:uiPriority w:val="0"/>
    <w:pPr>
      <w:tabs>
        <w:tab w:val="center" w:pos="4153"/>
        <w:tab w:val="right" w:pos="8306"/>
      </w:tabs>
      <w:snapToGrid w:val="0"/>
      <w:jc w:val="left"/>
    </w:pPr>
    <w:rPr>
      <w:sz w:val="18"/>
      <w:szCs w:val="18"/>
    </w:rPr>
  </w:style>
  <w:style w:type="paragraph" w:styleId="7">
    <w:name w:val="header"/>
    <w:basedOn w:val="1"/>
    <w:link w:val="14"/>
    <w:qFormat/>
    <w:uiPriority w:val="0"/>
    <w:pPr>
      <w:pBdr>
        <w:bottom w:val="single" w:color="auto" w:sz="6" w:space="1"/>
      </w:pBdr>
      <w:tabs>
        <w:tab w:val="center" w:pos="4153"/>
        <w:tab w:val="right" w:pos="8306"/>
      </w:tabs>
      <w:snapToGrid w:val="0"/>
      <w:jc w:val="center"/>
    </w:pPr>
    <w:rPr>
      <w:sz w:val="18"/>
      <w:szCs w:val="18"/>
    </w:rPr>
  </w:style>
  <w:style w:type="paragraph" w:styleId="8">
    <w:name w:val="Normal (Web)"/>
    <w:basedOn w:val="1"/>
    <w:unhideWhenUsed/>
    <w:qFormat/>
    <w:uiPriority w:val="99"/>
    <w:pPr>
      <w:widowControl/>
      <w:spacing w:before="100" w:beforeAutospacing="1" w:after="100" w:afterAutospacing="1"/>
      <w:ind w:firstLine="0" w:firstLineChars="0"/>
      <w:jc w:val="left"/>
    </w:pPr>
    <w:rPr>
      <w:rFonts w:ascii="宋体" w:hAnsi="宋体" w:eastAsia="宋体" w:cs="宋体"/>
      <w:kern w:val="0"/>
      <w:sz w:val="24"/>
      <w:szCs w:val="24"/>
    </w:rPr>
  </w:style>
  <w:style w:type="character" w:styleId="11">
    <w:name w:val="Strong"/>
    <w:basedOn w:val="10"/>
    <w:qFormat/>
    <w:uiPriority w:val="22"/>
    <w:rPr>
      <w:b/>
      <w:bCs/>
    </w:rPr>
  </w:style>
  <w:style w:type="character" w:styleId="12">
    <w:name w:val="Hyperlink"/>
    <w:basedOn w:val="10"/>
    <w:uiPriority w:val="0"/>
    <w:rPr>
      <w:color w:val="0000FF"/>
      <w:u w:val="single"/>
    </w:rPr>
  </w:style>
  <w:style w:type="paragraph" w:customStyle="1" w:styleId="13">
    <w:name w:val="本文正文"/>
    <w:basedOn w:val="1"/>
    <w:qFormat/>
    <w:uiPriority w:val="0"/>
    <w:pPr>
      <w:spacing w:line="360" w:lineRule="auto"/>
      <w:ind w:firstLine="803"/>
    </w:pPr>
    <w:rPr>
      <w:rFonts w:ascii="宋体" w:hAnsi="宋体"/>
      <w:sz w:val="24"/>
    </w:rPr>
  </w:style>
  <w:style w:type="character" w:customStyle="1" w:styleId="14">
    <w:name w:val="页眉 字符"/>
    <w:basedOn w:val="10"/>
    <w:link w:val="7"/>
    <w:qFormat/>
    <w:uiPriority w:val="0"/>
    <w:rPr>
      <w:rFonts w:ascii="Calibri" w:hAnsi="Calibri" w:eastAsia="仿宋_GB2312"/>
      <w:kern w:val="2"/>
      <w:sz w:val="18"/>
      <w:szCs w:val="18"/>
    </w:rPr>
  </w:style>
  <w:style w:type="character" w:customStyle="1" w:styleId="15">
    <w:name w:val="页脚 字符"/>
    <w:basedOn w:val="10"/>
    <w:link w:val="6"/>
    <w:qFormat/>
    <w:uiPriority w:val="0"/>
    <w:rPr>
      <w:rFonts w:ascii="Calibri" w:hAnsi="Calibri" w:eastAsia="仿宋_GB2312"/>
      <w:kern w:val="2"/>
      <w:sz w:val="18"/>
      <w:szCs w:val="18"/>
    </w:rPr>
  </w:style>
  <w:style w:type="character" w:customStyle="1" w:styleId="16">
    <w:name w:val="标题 2 字符"/>
    <w:basedOn w:val="10"/>
    <w:link w:val="5"/>
    <w:semiHidden/>
    <w:qFormat/>
    <w:uiPriority w:val="0"/>
    <w:rPr>
      <w:rFonts w:asciiTheme="majorHAnsi" w:hAnsiTheme="majorHAnsi" w:eastAsiaTheme="majorEastAsia" w:cstheme="majorBidi"/>
      <w:b/>
      <w:bCs/>
      <w:kern w:val="2"/>
      <w:sz w:val="32"/>
      <w:szCs w:val="32"/>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华测检测认证集团股份有限公司</Company>
  <Pages>8</Pages>
  <Words>600</Words>
  <Characters>3426</Characters>
  <Lines>28</Lines>
  <Paragraphs>8</Paragraphs>
  <TotalTime>0</TotalTime>
  <ScaleCrop>false</ScaleCrop>
  <LinksUpToDate>false</LinksUpToDate>
  <CharactersWithSpaces>4018</CharactersWithSpaces>
  <Application>WPS Office_11.1.0.10228_F1E327BC-269C-435d-A152-05C5408002CA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2020-12-18T06:54:00Z</dcterms:created>
  <dc:creator>zhenyongwen</dc:creator>
  <cp:lastModifiedBy>韦慧勤</cp:lastModifiedBy>
  <dcterms:modified xsi:type="dcterms:W3CDTF">2020-12-31T07:23:24Z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2052-11.1.0.10228</vt:lpwstr>
  </property>
</Properties>
</file>