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kern w:val="0"/>
          <w:szCs w:val="32"/>
          <w:lang w:eastAsia="zh-CN"/>
        </w:rPr>
      </w:pPr>
      <w:r>
        <w:rPr>
          <w:rFonts w:hint="eastAsia" w:ascii="黑体" w:hAnsi="黑体" w:eastAsia="黑体" w:cs="Arial"/>
          <w:kern w:val="0"/>
          <w:szCs w:val="32"/>
        </w:rPr>
        <w:t>附件</w:t>
      </w:r>
      <w:r>
        <w:rPr>
          <w:rFonts w:hint="eastAsia" w:ascii="黑体" w:hAnsi="黑体" w:eastAsia="黑体" w:cs="Arial"/>
          <w:kern w:val="0"/>
          <w:szCs w:val="32"/>
          <w:lang w:val="en-US" w:eastAsia="zh-CN"/>
        </w:rPr>
        <w:t>3</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spacing w:val="-12"/>
          <w:sz w:val="44"/>
          <w:szCs w:val="44"/>
        </w:rPr>
      </w:pPr>
      <w:r>
        <w:rPr>
          <w:rFonts w:hint="eastAsia" w:ascii="华文中宋" w:hAnsi="华文中宋" w:eastAsia="华文中宋" w:cs="华文中宋"/>
          <w:spacing w:val="-12"/>
          <w:sz w:val="44"/>
          <w:szCs w:val="44"/>
        </w:rPr>
        <w:t>部分不合格项目小知识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640" w:firstLine="480"/>
        <w:textAlignment w:val="auto"/>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szCs w:val="32"/>
        </w:rPr>
      </w:pPr>
      <w:r>
        <w:rPr>
          <w:rFonts w:hint="eastAsia" w:ascii="黑体" w:hAnsi="黑体" w:eastAsia="黑体" w:cs="黑体"/>
          <w:b w:val="0"/>
          <w:bCs w:val="0"/>
          <w:szCs w:val="32"/>
        </w:rPr>
        <w:t>一、不合格项目小知识</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200"/>
        <w:jc w:val="left"/>
        <w:textAlignment w:val="auto"/>
        <w:rPr>
          <w:rFonts w:ascii="楷体_GB2312" w:hAnsi="宋体" w:eastAsia="楷体_GB2312" w:cs="宋体"/>
          <w:b/>
          <w:kern w:val="0"/>
          <w:sz w:val="32"/>
          <w:szCs w:val="32"/>
        </w:rPr>
      </w:pPr>
      <w:r>
        <w:rPr>
          <w:rFonts w:hint="eastAsia" w:ascii="楷体_GB2312" w:hAnsi="宋体" w:eastAsia="楷体_GB2312" w:cs="宋体"/>
          <w:b/>
          <w:kern w:val="0"/>
          <w:sz w:val="32"/>
          <w:szCs w:val="32"/>
          <w:lang w:eastAsia="zh-CN"/>
        </w:rPr>
        <w:t>（一）</w:t>
      </w:r>
      <w:r>
        <w:rPr>
          <w:rFonts w:ascii="楷体_GB2312" w:hAnsi="宋体" w:eastAsia="楷体_GB2312" w:cs="宋体"/>
          <w:b/>
          <w:kern w:val="0"/>
          <w:sz w:val="32"/>
          <w:szCs w:val="32"/>
        </w:rPr>
        <w:t>过氧化值</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仿宋_GB2312" w:hAnsi="仿宋" w:eastAsia="仿宋_GB2312" w:cs="宋体"/>
          <w:color w:val="auto"/>
          <w:kern w:val="0"/>
          <w:sz w:val="32"/>
          <w:szCs w:val="32"/>
          <w:lang w:val="zh-CN"/>
        </w:rPr>
      </w:pPr>
      <w:r>
        <w:rPr>
          <w:rFonts w:ascii="仿宋_GB2312" w:hAnsi="仿宋" w:eastAsia="仿宋_GB2312" w:cs="宋体"/>
          <w:kern w:val="0"/>
          <w:sz w:val="32"/>
          <w:szCs w:val="32"/>
          <w:lang w:val="zh-CN"/>
        </w:rPr>
        <w:t>过氧化值（以脂肪计）主要反映食品中油脂是否氧化变质。随着油脂氧化，过氧化值会逐步升高，虽一般不会对人体的健康产生损害，但严重时会导致肠胃不适、腹泻等症状。</w:t>
      </w:r>
      <w:r>
        <w:rPr>
          <w:rFonts w:hint="eastAsia" w:ascii="仿宋_GB2312" w:hAnsi="仿宋" w:eastAsia="仿宋_GB2312" w:cs="仿宋"/>
          <w:sz w:val="32"/>
          <w:szCs w:val="32"/>
        </w:rPr>
        <w:t>《食品安全国家标准 腌腊肉制品》（GB 2730-2015）中规定，腌腊</w:t>
      </w:r>
      <w:r>
        <w:rPr>
          <w:rFonts w:hint="eastAsia" w:ascii="仿宋_GB2312" w:hAnsi="仿宋" w:cs="仿宋"/>
          <w:sz w:val="32"/>
          <w:szCs w:val="32"/>
          <w:lang w:eastAsia="zh-CN"/>
        </w:rPr>
        <w:t>禽</w:t>
      </w:r>
      <w:r>
        <w:rPr>
          <w:rFonts w:hint="eastAsia" w:ascii="仿宋_GB2312" w:hAnsi="仿宋" w:eastAsia="仿宋_GB2312" w:cs="仿宋"/>
          <w:sz w:val="32"/>
          <w:szCs w:val="32"/>
        </w:rPr>
        <w:t>制品的过氧化值(以脂肪计)应≤</w:t>
      </w:r>
      <w:r>
        <w:rPr>
          <w:rFonts w:hint="eastAsia" w:ascii="仿宋_GB2312" w:hAnsi="仿宋" w:cs="仿宋"/>
          <w:sz w:val="32"/>
          <w:szCs w:val="32"/>
          <w:lang w:val="en-US" w:eastAsia="zh-CN"/>
        </w:rPr>
        <w:t>1</w:t>
      </w:r>
      <w:r>
        <w:rPr>
          <w:rFonts w:hint="eastAsia" w:ascii="仿宋_GB2312" w:hAnsi="仿宋" w:eastAsia="仿宋_GB2312" w:cs="仿宋"/>
          <w:sz w:val="32"/>
          <w:szCs w:val="32"/>
        </w:rPr>
        <w:t>.5g/100g</w:t>
      </w:r>
      <w:r>
        <w:rPr>
          <w:rFonts w:hint="eastAsia" w:ascii="仿宋_GB2312" w:hAnsi="仿宋" w:cs="仿宋"/>
          <w:sz w:val="32"/>
          <w:szCs w:val="32"/>
          <w:lang w:eastAsia="zh-CN"/>
        </w:rPr>
        <w:t>；火腿、腊肉、咸肉、香（腊）肠</w:t>
      </w:r>
      <w:r>
        <w:rPr>
          <w:rFonts w:hint="eastAsia" w:ascii="仿宋_GB2312" w:hAnsi="仿宋" w:eastAsia="仿宋_GB2312" w:cs="仿宋"/>
          <w:sz w:val="32"/>
          <w:szCs w:val="32"/>
        </w:rPr>
        <w:t>的过氧化值(以脂肪计)应≤</w:t>
      </w:r>
      <w:r>
        <w:rPr>
          <w:rFonts w:hint="eastAsia" w:ascii="仿宋_GB2312" w:hAnsi="仿宋" w:cs="仿宋"/>
          <w:sz w:val="32"/>
          <w:szCs w:val="32"/>
          <w:lang w:val="en-US" w:eastAsia="zh-CN"/>
        </w:rPr>
        <w:t>0</w:t>
      </w:r>
      <w:r>
        <w:rPr>
          <w:rFonts w:hint="eastAsia" w:ascii="仿宋_GB2312" w:hAnsi="仿宋" w:eastAsia="仿宋_GB2312" w:cs="仿宋"/>
          <w:sz w:val="32"/>
          <w:szCs w:val="32"/>
        </w:rPr>
        <w:t>.5g/100g。</w:t>
      </w:r>
      <w:r>
        <w:rPr>
          <w:rFonts w:ascii="仿宋_GB2312" w:hAnsi="仿宋" w:eastAsia="仿宋_GB2312" w:cs="宋体"/>
          <w:kern w:val="0"/>
          <w:sz w:val="32"/>
          <w:szCs w:val="32"/>
          <w:lang w:val="zh-CN"/>
        </w:rPr>
        <w:t>过氧化值超标的原因，可能</w:t>
      </w:r>
      <w:r>
        <w:rPr>
          <w:rFonts w:ascii="仿宋_GB2312" w:hAnsi="仿宋" w:eastAsia="仿宋_GB2312" w:cs="宋体"/>
          <w:color w:val="auto"/>
          <w:kern w:val="0"/>
          <w:sz w:val="32"/>
          <w:szCs w:val="32"/>
          <w:lang w:val="zh-CN"/>
        </w:rPr>
        <w:t>是</w:t>
      </w:r>
      <w:r>
        <w:rPr>
          <w:rFonts w:hint="eastAsia" w:ascii="仿宋_GB2312" w:hAnsi="仿宋" w:cs="宋体"/>
          <w:color w:val="auto"/>
          <w:kern w:val="0"/>
          <w:sz w:val="32"/>
          <w:szCs w:val="32"/>
          <w:lang w:val="zh-CN"/>
        </w:rPr>
        <w:t>产品因</w:t>
      </w:r>
      <w:r>
        <w:rPr>
          <w:rFonts w:ascii="仿宋_GB2312" w:hAnsi="仿宋" w:eastAsia="仿宋_GB2312" w:cs="宋体"/>
          <w:color w:val="auto"/>
          <w:kern w:val="0"/>
          <w:sz w:val="32"/>
          <w:szCs w:val="32"/>
          <w:lang w:val="zh-CN"/>
        </w:rPr>
        <w:t>储存不当导致</w:t>
      </w:r>
      <w:r>
        <w:rPr>
          <w:rFonts w:hint="eastAsia" w:ascii="仿宋_GB2312" w:hAnsi="仿宋" w:cs="宋体"/>
          <w:color w:val="auto"/>
          <w:kern w:val="0"/>
          <w:sz w:val="32"/>
          <w:szCs w:val="32"/>
          <w:lang w:val="zh-CN"/>
        </w:rPr>
        <w:t>其中的</w:t>
      </w:r>
      <w:r>
        <w:rPr>
          <w:rFonts w:ascii="仿宋_GB2312" w:hAnsi="仿宋" w:eastAsia="仿宋_GB2312" w:cs="宋体"/>
          <w:color w:val="auto"/>
          <w:kern w:val="0"/>
          <w:sz w:val="32"/>
          <w:szCs w:val="32"/>
          <w:lang w:val="zh-CN"/>
        </w:rPr>
        <w:t>脂肪氧化</w:t>
      </w:r>
      <w:r>
        <w:rPr>
          <w:rFonts w:hint="eastAsia" w:ascii="仿宋_GB2312" w:hAnsi="仿宋" w:cs="宋体"/>
          <w:color w:val="auto"/>
          <w:kern w:val="0"/>
          <w:sz w:val="32"/>
          <w:szCs w:val="32"/>
          <w:lang w:val="zh-CN"/>
        </w:rPr>
        <w:t>或</w:t>
      </w:r>
      <w:r>
        <w:rPr>
          <w:rFonts w:ascii="仿宋_GB2312" w:hAnsi="仿宋" w:eastAsia="仿宋_GB2312" w:cs="宋体"/>
          <w:color w:val="auto"/>
          <w:kern w:val="0"/>
          <w:sz w:val="32"/>
          <w:szCs w:val="32"/>
          <w:lang w:val="zh-CN"/>
        </w:rPr>
        <w:t>生产用油变质，或</w:t>
      </w:r>
      <w:r>
        <w:rPr>
          <w:rFonts w:hint="eastAsia" w:ascii="仿宋_GB2312" w:hAnsi="仿宋" w:cs="宋体"/>
          <w:color w:val="auto"/>
          <w:kern w:val="0"/>
          <w:sz w:val="32"/>
          <w:szCs w:val="32"/>
          <w:lang w:val="zh-CN"/>
        </w:rPr>
        <w:t>因产品</w:t>
      </w:r>
      <w:r>
        <w:rPr>
          <w:rFonts w:ascii="仿宋_GB2312" w:hAnsi="仿宋" w:eastAsia="仿宋_GB2312" w:cs="宋体"/>
          <w:color w:val="auto"/>
          <w:kern w:val="0"/>
          <w:sz w:val="32"/>
          <w:szCs w:val="32"/>
          <w:lang w:val="zh-CN"/>
        </w:rPr>
        <w:t>漏气、储存过程中环境条件控制不当</w:t>
      </w:r>
      <w:r>
        <w:rPr>
          <w:rFonts w:hint="eastAsia" w:ascii="仿宋_GB2312" w:hAnsi="仿宋" w:cs="宋体"/>
          <w:color w:val="auto"/>
          <w:kern w:val="0"/>
          <w:sz w:val="32"/>
          <w:szCs w:val="32"/>
          <w:lang w:val="zh-CN"/>
        </w:rPr>
        <w:t>而</w:t>
      </w:r>
      <w:r>
        <w:rPr>
          <w:rFonts w:ascii="仿宋_GB2312" w:hAnsi="仿宋" w:eastAsia="仿宋_GB2312" w:cs="宋体"/>
          <w:color w:val="auto"/>
          <w:kern w:val="0"/>
          <w:sz w:val="32"/>
          <w:szCs w:val="32"/>
          <w:lang w:val="zh-CN"/>
        </w:rPr>
        <w:t>导致。</w:t>
      </w:r>
    </w:p>
    <w:p>
      <w:pPr>
        <w:spacing w:line="560" w:lineRule="exact"/>
        <w:ind w:firstLine="482" w:firstLineChars="150"/>
        <w:rPr>
          <w:rFonts w:ascii="楷体_GB2312" w:hAnsi="楷体" w:eastAsia="楷体_GB2312" w:cs="仿宋_GB2312"/>
          <w:b/>
          <w:sz w:val="32"/>
          <w:szCs w:val="32"/>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二</w:t>
      </w: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sz w:val="32"/>
          <w:szCs w:val="32"/>
        </w:rPr>
        <w:t>二氧化硫残留量</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食品中的二氧化硫残留通常是指二氧化硫、硫磺以及焦亚硫酸钠、焦亚硫酸钾、亚硫酸钠、亚硫酸氢钠、低亚硫酸钠等无机亚硫酸盐残留的统称。《食品安全国家标准 食品添加剂使用标准》（GB 2760-2014）中规定，</w:t>
      </w:r>
      <w:r>
        <w:rPr>
          <w:rFonts w:hint="eastAsia" w:ascii="仿宋_GB2312" w:hAnsi="仿宋" w:eastAsia="仿宋_GB2312"/>
          <w:sz w:val="32"/>
          <w:szCs w:val="32"/>
        </w:rPr>
        <w:t>干制蔬菜中二氧化硫残留量应≤0.2g/kg</w:t>
      </w:r>
      <w:r>
        <w:rPr>
          <w:rFonts w:hint="eastAsia" w:ascii="仿宋_GB2312" w:hAnsi="仿宋" w:eastAsia="仿宋_GB2312" w:cs="仿宋"/>
          <w:kern w:val="2"/>
          <w:sz w:val="32"/>
          <w:szCs w:val="32"/>
          <w:lang w:val="en-US" w:eastAsia="zh-CN" w:bidi="ar-SA"/>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楷体_GB2312" w:hAnsi="楷体" w:eastAsia="楷体_GB2312" w:cs="楷体"/>
          <w:b/>
          <w:bCs/>
          <w:szCs w:val="32"/>
          <w:shd w:val="clear" w:color="auto" w:fill="FFFFFF"/>
        </w:rPr>
      </w:pPr>
      <w:r>
        <w:rPr>
          <w:rFonts w:hint="eastAsia" w:ascii="楷体_GB2312" w:hAnsi="楷体" w:eastAsia="楷体_GB2312" w:cs="楷体"/>
          <w:b/>
          <w:bCs/>
          <w:szCs w:val="32"/>
          <w:shd w:val="clear" w:color="auto" w:fill="FFFFFF"/>
        </w:rPr>
        <w:t>（</w:t>
      </w:r>
      <w:r>
        <w:rPr>
          <w:rFonts w:hint="eastAsia" w:ascii="楷体_GB2312" w:hAnsi="楷体" w:eastAsia="楷体_GB2312" w:cs="楷体"/>
          <w:b/>
          <w:bCs/>
          <w:szCs w:val="32"/>
          <w:shd w:val="clear" w:color="auto" w:fill="FFFFFF"/>
          <w:lang w:eastAsia="zh-CN"/>
        </w:rPr>
        <w:t>三</w:t>
      </w:r>
      <w:r>
        <w:rPr>
          <w:rFonts w:hint="eastAsia" w:ascii="楷体_GB2312" w:hAnsi="楷体" w:eastAsia="楷体_GB2312" w:cs="楷体"/>
          <w:b/>
          <w:bCs/>
          <w:szCs w:val="32"/>
          <w:shd w:val="clear" w:color="auto" w:fill="FFFFFF"/>
        </w:rPr>
        <w:t>）铅</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hAnsi="仿宋_GB2312" w:cs="仿宋_GB2312"/>
          <w:color w:val="auto"/>
          <w:sz w:val="32"/>
          <w:szCs w:val="32"/>
        </w:rPr>
      </w:pPr>
      <w:r>
        <w:rPr>
          <w:rFonts w:hint="eastAsia" w:ascii="仿宋_GB2312" w:hAnsi="仿宋_GB2312" w:cs="仿宋_GB2312"/>
          <w:sz w:val="32"/>
          <w:szCs w:val="32"/>
        </w:rPr>
        <w:t>铅是一种能够在生物体内蓄积且排除缓慢的重金属污染物。《食品安全国家标准 食品中污染物限量》（GB 2762</w:t>
      </w:r>
      <w:r>
        <w:rPr>
          <w:rFonts w:hint="eastAsia" w:ascii="仿宋_GB2312" w:hAnsi="仿宋_GB2312" w:cs="仿宋_GB2312"/>
          <w:color w:val="0000FF"/>
          <w:sz w:val="32"/>
          <w:szCs w:val="32"/>
          <w:lang w:val="en-US" w:eastAsia="zh-CN"/>
        </w:rPr>
        <w:t>-</w:t>
      </w:r>
      <w:r>
        <w:rPr>
          <w:rFonts w:hint="eastAsia" w:ascii="仿宋_GB2312" w:hAnsi="仿宋_GB2312" w:cs="仿宋_GB2312"/>
          <w:sz w:val="32"/>
          <w:szCs w:val="32"/>
        </w:rPr>
        <w:t>201</w:t>
      </w:r>
      <w:r>
        <w:rPr>
          <w:rFonts w:hint="eastAsia" w:ascii="仿宋_GB2312" w:hAnsi="仿宋_GB2312" w:cs="仿宋_GB2312"/>
          <w:sz w:val="32"/>
          <w:szCs w:val="32"/>
          <w:lang w:val="en-US" w:eastAsia="zh-CN"/>
        </w:rPr>
        <w:t>7</w:t>
      </w:r>
      <w:r>
        <w:rPr>
          <w:rFonts w:hint="eastAsia" w:ascii="仿宋_GB2312" w:hAnsi="仿宋_GB2312" w:cs="仿宋_GB2312"/>
          <w:sz w:val="32"/>
          <w:szCs w:val="32"/>
        </w:rPr>
        <w:t>）中规定，</w:t>
      </w:r>
      <w:r>
        <w:rPr>
          <w:rFonts w:hint="eastAsia" w:ascii="仿宋_GB2312" w:hAnsi="仿宋" w:eastAsia="仿宋_GB2312"/>
          <w:sz w:val="32"/>
          <w:szCs w:val="32"/>
        </w:rPr>
        <w:t>干制蔬菜中的铅(以Pb计)应≤0.1/(1-脱水率)(mg/kg)。</w:t>
      </w:r>
      <w:r>
        <w:rPr>
          <w:rFonts w:hint="eastAsia" w:ascii="仿宋_GB2312" w:hAnsi="仿宋_GB2312" w:cs="仿宋_GB2312"/>
          <w:sz w:val="32"/>
          <w:szCs w:val="32"/>
        </w:rPr>
        <w:t>铅是一种慢性和积累性毒物。若长期或过多摄入铅含量超标的食品，铅会蓄积在体内，可能会影响大脑和神经系统，尤其会对儿童造成智力发育障碍和表现行为异常。重金属铅超标原因主要是环境污染带入原料，说明生产企业对原料把关不严，可能是使用了铅含量超标的原料，</w:t>
      </w:r>
      <w:r>
        <w:rPr>
          <w:rFonts w:hint="eastAsia" w:ascii="仿宋_GB2312" w:hAnsi="仿宋_GB2312" w:cs="仿宋_GB2312"/>
          <w:color w:val="auto"/>
          <w:sz w:val="32"/>
          <w:szCs w:val="32"/>
        </w:rPr>
        <w:t>也</w:t>
      </w:r>
      <w:r>
        <w:rPr>
          <w:rFonts w:hint="eastAsia" w:ascii="仿宋_GB2312" w:hAnsi="仿宋_GB2312" w:cs="仿宋_GB2312"/>
          <w:color w:val="auto"/>
          <w:sz w:val="32"/>
          <w:szCs w:val="32"/>
          <w:lang w:eastAsia="zh-CN"/>
        </w:rPr>
        <w:t>存在</w:t>
      </w:r>
      <w:r>
        <w:rPr>
          <w:rFonts w:hint="eastAsia" w:ascii="仿宋_GB2312" w:hAnsi="仿宋_GB2312" w:cs="仿宋_GB2312"/>
          <w:color w:val="auto"/>
          <w:sz w:val="32"/>
          <w:szCs w:val="32"/>
        </w:rPr>
        <w:t>从生产设备迁移入食品的可能。</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楷体_GB2312" w:hAnsi="楷体" w:eastAsia="楷体_GB2312" w:cs="楷体"/>
          <w:b/>
          <w:bCs/>
          <w:color w:val="auto"/>
          <w:szCs w:val="32"/>
          <w:shd w:val="clear" w:color="auto" w:fill="FFFFFF"/>
        </w:rPr>
      </w:pPr>
      <w:r>
        <w:rPr>
          <w:rFonts w:hint="eastAsia" w:ascii="楷体_GB2312" w:hAnsi="楷体" w:eastAsia="楷体_GB2312" w:cs="楷体"/>
          <w:b/>
          <w:bCs/>
          <w:color w:val="auto"/>
          <w:szCs w:val="32"/>
          <w:shd w:val="clear" w:color="auto" w:fill="FFFFFF"/>
          <w:lang w:val="en-US" w:eastAsia="zh-CN"/>
        </w:rPr>
        <w:t>(四)</w:t>
      </w:r>
      <w:r>
        <w:rPr>
          <w:rFonts w:hint="eastAsia" w:ascii="楷体_GB2312" w:hAnsi="楷体" w:eastAsia="楷体_GB2312" w:cs="楷体"/>
          <w:b/>
          <w:bCs/>
          <w:color w:val="auto"/>
          <w:szCs w:val="32"/>
          <w:shd w:val="clear" w:color="auto" w:fill="FFFFFF"/>
        </w:rPr>
        <w:t>谷氨酸钠</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2"/>
          <w:sz w:val="32"/>
          <w:szCs w:val="32"/>
          <w:lang w:val="en-US" w:eastAsia="zh-CN" w:bidi="ar-SA"/>
        </w:rPr>
        <w:t>《谷氨酸钠（味精）》（GB/T 8967-2007）中规定，味精中谷氨酸钠含量应≥99.0％。谷氨酸钠是反映味精鲜味的重要指标，不达标并不会对人体健康造成直接危害。但是味精的谷氨酸钠含量与其成本有着直接的关系，生产谷氨酸钠</w:t>
      </w:r>
      <w:r>
        <w:rPr>
          <w:rFonts w:hint="eastAsia" w:ascii="仿宋_GB2312" w:hAnsi="仿宋_GB2312" w:eastAsia="仿宋_GB2312" w:cs="仿宋_GB2312"/>
          <w:kern w:val="2"/>
          <w:sz w:val="32"/>
          <w:szCs w:val="32"/>
          <w:lang w:val="en-US" w:eastAsia="zh-CN" w:bidi="ar-SA"/>
        </w:rPr>
        <w:t>含量不达标的味精可能对消费者构成欺骗行为。</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二、建议</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sz w:val="32"/>
          <w:szCs w:val="32"/>
        </w:rPr>
      </w:pPr>
      <w:r>
        <w:rPr>
          <w:rFonts w:hint="eastAsia" w:ascii="楷体_GB2312" w:hAnsi="楷体" w:eastAsia="楷体_GB2312"/>
          <w:b/>
          <w:sz w:val="32"/>
          <w:szCs w:val="32"/>
        </w:rPr>
        <w:t>（一）加强原辅料的把控</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1"/>
          <w:rFonts w:ascii="楷体_GB2312" w:hAnsi="楷体" w:eastAsia="楷体_GB2312"/>
          <w:color w:val="auto"/>
          <w:sz w:val="32"/>
          <w:szCs w:val="32"/>
          <w:highlight w:val="none"/>
        </w:rPr>
      </w:pPr>
      <w:r>
        <w:rPr>
          <w:rFonts w:hint="eastAsia" w:ascii="楷体_GB2312" w:hAnsi="楷体" w:eastAsia="楷体_GB2312"/>
          <w:b/>
          <w:color w:val="auto"/>
          <w:sz w:val="32"/>
          <w:szCs w:val="32"/>
        </w:rPr>
        <w:t>（二）</w:t>
      </w:r>
      <w:r>
        <w:rPr>
          <w:rStyle w:val="11"/>
          <w:rFonts w:hint="eastAsia" w:ascii="楷体_GB2312" w:hAnsi="楷体" w:eastAsia="楷体_GB2312"/>
          <w:color w:val="auto"/>
          <w:sz w:val="32"/>
          <w:szCs w:val="32"/>
          <w:highlight w:val="none"/>
        </w:rPr>
        <w:t>提高食品添加剂安全使用意识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jc w:val="both"/>
        <w:textAlignment w:val="auto"/>
        <w:rPr>
          <w:rFonts w:hint="eastAsia" w:ascii="仿宋_GB2312" w:hAnsi="仿宋_GB2312" w:cs="仿宋_GB2312"/>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小标宋简体">
    <w:panose1 w:val="02000000000000000000"/>
    <w:charset w:val="86"/>
    <w:family w:val="script"/>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4506"/>
    <w:rsid w:val="006B1DCC"/>
    <w:rsid w:val="00724BD2"/>
    <w:rsid w:val="008D6C99"/>
    <w:rsid w:val="00B977A2"/>
    <w:rsid w:val="010D4506"/>
    <w:rsid w:val="017D0269"/>
    <w:rsid w:val="03E020C5"/>
    <w:rsid w:val="03FD00B3"/>
    <w:rsid w:val="055921C9"/>
    <w:rsid w:val="07C82C95"/>
    <w:rsid w:val="081209FA"/>
    <w:rsid w:val="091C5D20"/>
    <w:rsid w:val="0A101FAB"/>
    <w:rsid w:val="0AEA5DCE"/>
    <w:rsid w:val="0C455D22"/>
    <w:rsid w:val="0C6F4539"/>
    <w:rsid w:val="0CD4225F"/>
    <w:rsid w:val="0EA93008"/>
    <w:rsid w:val="0EC839C2"/>
    <w:rsid w:val="10AD16A7"/>
    <w:rsid w:val="1162065F"/>
    <w:rsid w:val="11B32DA0"/>
    <w:rsid w:val="11CE6913"/>
    <w:rsid w:val="12AF7645"/>
    <w:rsid w:val="12B51B83"/>
    <w:rsid w:val="139A1CB2"/>
    <w:rsid w:val="141B2394"/>
    <w:rsid w:val="155219D3"/>
    <w:rsid w:val="15FE7C46"/>
    <w:rsid w:val="16396F4B"/>
    <w:rsid w:val="16A52765"/>
    <w:rsid w:val="176818BF"/>
    <w:rsid w:val="17FA5E44"/>
    <w:rsid w:val="181E6360"/>
    <w:rsid w:val="199008F8"/>
    <w:rsid w:val="19EB104A"/>
    <w:rsid w:val="1B042E72"/>
    <w:rsid w:val="1C2B3ECE"/>
    <w:rsid w:val="1EFD4E3F"/>
    <w:rsid w:val="1F456A61"/>
    <w:rsid w:val="200B2815"/>
    <w:rsid w:val="231A399D"/>
    <w:rsid w:val="249A66FD"/>
    <w:rsid w:val="255973C6"/>
    <w:rsid w:val="257D0D7B"/>
    <w:rsid w:val="25D84592"/>
    <w:rsid w:val="274815F0"/>
    <w:rsid w:val="27D171E0"/>
    <w:rsid w:val="282A264F"/>
    <w:rsid w:val="29292876"/>
    <w:rsid w:val="29DF09A6"/>
    <w:rsid w:val="2D2D024C"/>
    <w:rsid w:val="2DA27B95"/>
    <w:rsid w:val="2E172668"/>
    <w:rsid w:val="2F4F707A"/>
    <w:rsid w:val="2FFC71C6"/>
    <w:rsid w:val="323F00BC"/>
    <w:rsid w:val="324700B2"/>
    <w:rsid w:val="348E513C"/>
    <w:rsid w:val="36A26439"/>
    <w:rsid w:val="38622AFA"/>
    <w:rsid w:val="387272BF"/>
    <w:rsid w:val="38865B2F"/>
    <w:rsid w:val="3B1904CB"/>
    <w:rsid w:val="3BAB1A67"/>
    <w:rsid w:val="3BFE4DC9"/>
    <w:rsid w:val="3CDD7A17"/>
    <w:rsid w:val="3E051E67"/>
    <w:rsid w:val="3E1079E4"/>
    <w:rsid w:val="3E88008E"/>
    <w:rsid w:val="3E984FE9"/>
    <w:rsid w:val="3EC80CDE"/>
    <w:rsid w:val="3F033412"/>
    <w:rsid w:val="3F685D87"/>
    <w:rsid w:val="44141429"/>
    <w:rsid w:val="460F4F06"/>
    <w:rsid w:val="464A4562"/>
    <w:rsid w:val="4848609B"/>
    <w:rsid w:val="4864409A"/>
    <w:rsid w:val="48E60C18"/>
    <w:rsid w:val="49346CC6"/>
    <w:rsid w:val="4B37566A"/>
    <w:rsid w:val="4DAC348D"/>
    <w:rsid w:val="4EBC0748"/>
    <w:rsid w:val="4FE23640"/>
    <w:rsid w:val="4FED4605"/>
    <w:rsid w:val="503305EE"/>
    <w:rsid w:val="52A0415B"/>
    <w:rsid w:val="52FE47AC"/>
    <w:rsid w:val="533A17A5"/>
    <w:rsid w:val="53465E28"/>
    <w:rsid w:val="53FD7C6B"/>
    <w:rsid w:val="551B6EF1"/>
    <w:rsid w:val="59E33FF0"/>
    <w:rsid w:val="59EA54F5"/>
    <w:rsid w:val="5C000884"/>
    <w:rsid w:val="5C240B88"/>
    <w:rsid w:val="5E214E94"/>
    <w:rsid w:val="5E7004E1"/>
    <w:rsid w:val="5ECD4C7F"/>
    <w:rsid w:val="6048573D"/>
    <w:rsid w:val="62547A4D"/>
    <w:rsid w:val="638239E5"/>
    <w:rsid w:val="63E10B0C"/>
    <w:rsid w:val="6537764C"/>
    <w:rsid w:val="65E578BD"/>
    <w:rsid w:val="668A5EDC"/>
    <w:rsid w:val="67180D7A"/>
    <w:rsid w:val="67663F7B"/>
    <w:rsid w:val="6792245C"/>
    <w:rsid w:val="67AC56C6"/>
    <w:rsid w:val="6801069F"/>
    <w:rsid w:val="69130912"/>
    <w:rsid w:val="69CB77D8"/>
    <w:rsid w:val="6A323B2C"/>
    <w:rsid w:val="6C2646D1"/>
    <w:rsid w:val="6C721C9A"/>
    <w:rsid w:val="6C942E03"/>
    <w:rsid w:val="6D731B27"/>
    <w:rsid w:val="6E9610D2"/>
    <w:rsid w:val="6ECD36FF"/>
    <w:rsid w:val="6F1957D5"/>
    <w:rsid w:val="72A04A1F"/>
    <w:rsid w:val="72F24D9D"/>
    <w:rsid w:val="733275F5"/>
    <w:rsid w:val="738026E3"/>
    <w:rsid w:val="754B170B"/>
    <w:rsid w:val="75CA36CA"/>
    <w:rsid w:val="763955BF"/>
    <w:rsid w:val="77FC16E5"/>
    <w:rsid w:val="78FE0A2F"/>
    <w:rsid w:val="7A7C11A9"/>
    <w:rsid w:val="7B5E04A9"/>
    <w:rsid w:val="7C073518"/>
    <w:rsid w:val="7F270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4">
    <w:name w:val="heading 1"/>
    <w:basedOn w:val="1"/>
    <w:next w:val="1"/>
    <w:qFormat/>
    <w:uiPriority w:val="0"/>
    <w:pPr>
      <w:keepNext/>
      <w:keepLines/>
      <w:spacing w:before="340" w:after="330" w:line="576" w:lineRule="auto"/>
      <w:outlineLvl w:val="0"/>
    </w:pPr>
    <w:rPr>
      <w:rFonts w:eastAsia="楷体_GB2312"/>
      <w:b/>
      <w:kern w:val="44"/>
    </w:rPr>
  </w:style>
  <w:style w:type="paragraph" w:styleId="5">
    <w:name w:val="heading 2"/>
    <w:basedOn w:val="1"/>
    <w:next w:val="1"/>
    <w:link w:val="16"/>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customStyle="1" w:styleId="13">
    <w:name w:val="本文正文"/>
    <w:basedOn w:val="1"/>
    <w:qFormat/>
    <w:uiPriority w:val="0"/>
    <w:pPr>
      <w:spacing w:line="360" w:lineRule="auto"/>
      <w:ind w:firstLine="803"/>
    </w:pPr>
    <w:rPr>
      <w:rFonts w:ascii="宋体" w:hAnsi="宋体"/>
      <w:sz w:val="24"/>
    </w:rPr>
  </w:style>
  <w:style w:type="character" w:customStyle="1" w:styleId="14">
    <w:name w:val="页眉 字符"/>
    <w:basedOn w:val="10"/>
    <w:link w:val="7"/>
    <w:qFormat/>
    <w:uiPriority w:val="0"/>
    <w:rPr>
      <w:rFonts w:ascii="Calibri" w:hAnsi="Calibri" w:eastAsia="仿宋_GB2312"/>
      <w:kern w:val="2"/>
      <w:sz w:val="18"/>
      <w:szCs w:val="18"/>
    </w:rPr>
  </w:style>
  <w:style w:type="character" w:customStyle="1" w:styleId="15">
    <w:name w:val="页脚 字符"/>
    <w:basedOn w:val="10"/>
    <w:link w:val="6"/>
    <w:qFormat/>
    <w:uiPriority w:val="0"/>
    <w:rPr>
      <w:rFonts w:ascii="Calibri" w:hAnsi="Calibri" w:eastAsia="仿宋_GB2312"/>
      <w:kern w:val="2"/>
      <w:sz w:val="18"/>
      <w:szCs w:val="18"/>
    </w:rPr>
  </w:style>
  <w:style w:type="character" w:customStyle="1" w:styleId="16">
    <w:name w:val="标题 2 字符"/>
    <w:basedOn w:val="10"/>
    <w:link w:val="5"/>
    <w:semiHidden/>
    <w:qFormat/>
    <w:uiPriority w:val="0"/>
    <w:rPr>
      <w:rFonts w:asciiTheme="majorHAnsi" w:hAnsiTheme="majorHAnsi" w:eastAsiaTheme="majorEastAsia" w:cstheme="majorBidi"/>
      <w:b/>
      <w:bCs/>
      <w:kern w:val="2"/>
      <w:sz w:val="32"/>
      <w:szCs w:val="32"/>
    </w:rPr>
  </w:style>
  <w:style w:type="paragraph" w:customStyle="1" w:styleId="17">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600</Words>
  <Characters>3426</Characters>
  <Lines>28</Lines>
  <Paragraphs>8</Paragraphs>
  <TotalTime>1</TotalTime>
  <ScaleCrop>false</ScaleCrop>
  <LinksUpToDate>false</LinksUpToDate>
  <CharactersWithSpaces>4018</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2021-04-23T03:35:41Z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2BCBADEB164F420AB7CA92621D404113</vt:lpwstr>
  </property>
</Properties>
</file>