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rPr>
          <w:rFonts w:ascii="黑体" w:hAnsi="黑体" w:eastAsia="黑体" w:cs="Arial"/>
          <w:kern w:val="0"/>
          <w:szCs w:val="32"/>
        </w:rPr>
      </w:pPr>
      <w:r>
        <w:rPr>
          <w:rFonts w:hint="eastAsia" w:ascii="黑体" w:hAnsi="黑体" w:eastAsia="黑体" w:cs="Arial"/>
          <w:kern w:val="0"/>
          <w:szCs w:val="32"/>
        </w:rPr>
        <w:t>附件4</w:t>
      </w:r>
    </w:p>
    <w:p>
      <w:pPr>
        <w:spacing w:line="560" w:lineRule="exact"/>
        <w:ind w:firstLine="832"/>
        <w:jc w:val="center"/>
        <w:rPr>
          <w:rFonts w:ascii="方正小标宋简体" w:hAnsi="方正小标宋简体" w:eastAsia="方正小标宋简体" w:cs="方正小标宋简体"/>
          <w:spacing w:val="-12"/>
          <w:sz w:val="44"/>
          <w:szCs w:val="44"/>
        </w:rPr>
      </w:pPr>
      <w:r>
        <w:rPr>
          <w:rFonts w:hint="eastAsia" w:ascii="华文中宋" w:hAnsi="华文中宋" w:eastAsia="华文中宋" w:cs="华文中宋"/>
          <w:spacing w:val="-12"/>
          <w:sz w:val="44"/>
          <w:szCs w:val="44"/>
        </w:rPr>
        <w:t>部分不合格项目小知识</w:t>
      </w:r>
    </w:p>
    <w:p>
      <w:pPr>
        <w:pStyle w:val="2"/>
        <w:ind w:left="640" w:firstLine="480"/>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szCs w:val="32"/>
        </w:rPr>
      </w:pPr>
      <w:r>
        <w:rPr>
          <w:rFonts w:hint="eastAsia" w:ascii="黑体" w:hAnsi="黑体" w:eastAsia="黑体" w:cs="黑体"/>
          <w:b w:val="0"/>
          <w:bCs w:val="0"/>
          <w:szCs w:val="32"/>
        </w:rPr>
        <w:t>一、不合格项目小知识</w:t>
      </w:r>
    </w:p>
    <w:p>
      <w:pPr>
        <w:pStyle w:val="2"/>
        <w:keepNext w:val="0"/>
        <w:keepLines w:val="0"/>
        <w:pageBreakBefore w:val="0"/>
        <w:kinsoku/>
        <w:wordWrap/>
        <w:overflowPunct/>
        <w:topLinePunct w:val="0"/>
        <w:autoSpaceDE/>
        <w:autoSpaceDN/>
        <w:bidi w:val="0"/>
        <w:adjustRightInd/>
        <w:snapToGrid/>
        <w:spacing w:after="0" w:line="560" w:lineRule="exact"/>
        <w:ind w:left="0" w:leftChars="0" w:firstLine="642" w:firstLineChars="200"/>
        <w:textAlignment w:val="auto"/>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（一）水分</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水分属于理化指标，是食品的一个内在质量因素，各类食品的产品标准常对水分含量有明确的限值要求，水分高低反映产品的含水量。合理的水分控制，可避免产品的功效成分或营养物质分解、酶解变质、霉变等，有助于保持产品质量稳定</w:t>
      </w:r>
      <w:r>
        <w:rPr>
          <w:rFonts w:hint="eastAsia" w:ascii="仿宋_GB2312" w:hAnsi="宋体" w:cs="宋体"/>
          <w:kern w:val="0"/>
          <w:sz w:val="32"/>
          <w:szCs w:val="32"/>
          <w:lang w:eastAsia="zh-CN"/>
        </w:rPr>
        <w:t>。</w:t>
      </w:r>
      <w:r>
        <w:rPr>
          <w:rFonts w:hint="eastAsia" w:ascii="仿宋_GB2312" w:hAnsi="宋体" w:eastAsia="仿宋_GB2312" w:cs="宋体"/>
          <w:kern w:val="0"/>
          <w:sz w:val="32"/>
          <w:szCs w:val="32"/>
        </w:rPr>
        <w:t>《食品安全国家标准 食用菌及其制品》（GB 7096-</w:t>
      </w:r>
      <w:r>
        <w:rPr>
          <w:rFonts w:hint="eastAsia" w:ascii="仿宋_GB2312" w:hAnsi="宋体" w:cs="宋体"/>
          <w:kern w:val="0"/>
          <w:sz w:val="32"/>
          <w:szCs w:val="32"/>
          <w:lang w:val="en-US" w:eastAsia="zh-CN"/>
        </w:rPr>
        <w:t xml:space="preserve"> </w:t>
      </w:r>
      <w:r>
        <w:rPr>
          <w:rFonts w:hint="eastAsia" w:ascii="仿宋_GB2312" w:hAnsi="宋体" w:eastAsia="仿宋_GB2312" w:cs="宋体"/>
          <w:kern w:val="0"/>
          <w:sz w:val="32"/>
          <w:szCs w:val="32"/>
        </w:rPr>
        <w:t>2014）中规定，香菇</w:t>
      </w:r>
      <w:r>
        <w:rPr>
          <w:rFonts w:hint="eastAsia" w:ascii="仿宋_GB2312" w:hAnsi="仿宋" w:eastAsia="仿宋_GB2312"/>
          <w:sz w:val="32"/>
          <w:szCs w:val="32"/>
        </w:rPr>
        <w:t>干制品、银耳干制品以外的其他食用菌干制品</w:t>
      </w:r>
      <w:r>
        <w:rPr>
          <w:rFonts w:hint="eastAsia" w:ascii="仿宋_GB2312" w:hAnsi="宋体" w:eastAsia="仿宋_GB2312" w:cs="宋体"/>
          <w:kern w:val="0"/>
          <w:sz w:val="32"/>
          <w:szCs w:val="32"/>
        </w:rPr>
        <w:t>水分应</w:t>
      </w:r>
      <w:r>
        <w:rPr>
          <w:rFonts w:hint="eastAsia" w:ascii="仿宋_GB2312" w:hAnsi="仿宋" w:eastAsia="仿宋_GB2312"/>
          <w:sz w:val="32"/>
          <w:szCs w:val="32"/>
        </w:rPr>
        <w:t>≤12g/100g。</w:t>
      </w:r>
      <w:r>
        <w:rPr>
          <w:rFonts w:hint="eastAsia" w:ascii="仿宋_GB2312" w:hAnsi="宋体" w:eastAsia="仿宋_GB2312" w:cs="宋体"/>
          <w:kern w:val="0"/>
          <w:sz w:val="32"/>
          <w:szCs w:val="32"/>
        </w:rPr>
        <w:t>食品的水分不合格对人体健康没有重大影响，但是，水分超标会缩短产品的保质期限，使产品易发生霉变，可能引起产品质量的下降。</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200"/>
        <w:jc w:val="left"/>
        <w:textAlignment w:val="auto"/>
        <w:rPr>
          <w:rFonts w:ascii="楷体_GB2312" w:hAnsi="宋体" w:eastAsia="楷体_GB2312" w:cs="宋体"/>
          <w:b/>
          <w:kern w:val="0"/>
          <w:sz w:val="32"/>
          <w:szCs w:val="32"/>
        </w:rPr>
      </w:pPr>
      <w:r>
        <w:rPr>
          <w:rFonts w:hint="eastAsia" w:ascii="楷体_GB2312" w:hAnsi="宋体" w:eastAsia="楷体_GB2312" w:cs="宋体"/>
          <w:b/>
          <w:kern w:val="0"/>
          <w:sz w:val="32"/>
          <w:szCs w:val="32"/>
          <w:lang w:eastAsia="zh-CN"/>
        </w:rPr>
        <w:t>（二）</w:t>
      </w:r>
      <w:r>
        <w:rPr>
          <w:rFonts w:ascii="楷体_GB2312" w:hAnsi="宋体" w:eastAsia="楷体_GB2312" w:cs="宋体"/>
          <w:b/>
          <w:kern w:val="0"/>
          <w:sz w:val="32"/>
          <w:szCs w:val="32"/>
        </w:rPr>
        <w:t>过氧化值</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ascii="仿宋_GB2312" w:hAnsi="仿宋" w:eastAsia="仿宋_GB2312" w:cs="宋体"/>
          <w:color w:val="auto"/>
          <w:kern w:val="0"/>
          <w:sz w:val="32"/>
          <w:szCs w:val="32"/>
          <w:lang w:val="zh-CN"/>
        </w:rPr>
      </w:pPr>
      <w:r>
        <w:rPr>
          <w:rFonts w:ascii="仿宋_GB2312" w:hAnsi="仿宋" w:eastAsia="仿宋_GB2312" w:cs="宋体"/>
          <w:kern w:val="0"/>
          <w:sz w:val="32"/>
          <w:szCs w:val="32"/>
          <w:lang w:val="zh-CN"/>
        </w:rPr>
        <w:t>过氧化值（以脂肪计）主要反映食品中油脂是否氧化变质。随着油脂氧化，过氧化值会逐步升高，虽一般不会对人体的健康产生损害，但严重时会导致肠胃不适、腹泻等症状。《食品安全国家标准 饼干》（GB 7100</w:t>
      </w:r>
      <w:r>
        <w:rPr>
          <w:rFonts w:hint="eastAsia" w:ascii="仿宋_GB2312" w:hAnsi="仿宋" w:cs="宋体"/>
          <w:color w:val="0000FF"/>
          <w:kern w:val="0"/>
          <w:sz w:val="32"/>
          <w:szCs w:val="32"/>
          <w:lang w:val="en-US" w:eastAsia="zh-CN"/>
        </w:rPr>
        <w:t>-</w:t>
      </w:r>
      <w:r>
        <w:rPr>
          <w:rFonts w:ascii="仿宋_GB2312" w:hAnsi="仿宋" w:eastAsia="仿宋_GB2312" w:cs="宋体"/>
          <w:kern w:val="0"/>
          <w:sz w:val="32"/>
          <w:szCs w:val="32"/>
          <w:lang w:val="zh-CN"/>
        </w:rPr>
        <w:t>2015）中规定，饼干中的过氧化值（以脂肪计）的最大限量值为0.25g/100g。过氧化值超标的原因，可能</w:t>
      </w:r>
      <w:r>
        <w:rPr>
          <w:rFonts w:ascii="仿宋_GB2312" w:hAnsi="仿宋" w:eastAsia="仿宋_GB2312" w:cs="宋体"/>
          <w:color w:val="auto"/>
          <w:kern w:val="0"/>
          <w:sz w:val="32"/>
          <w:szCs w:val="32"/>
          <w:lang w:val="zh-CN"/>
        </w:rPr>
        <w:t>是</w:t>
      </w:r>
      <w:r>
        <w:rPr>
          <w:rFonts w:hint="eastAsia" w:ascii="仿宋_GB2312" w:hAnsi="仿宋" w:cs="宋体"/>
          <w:color w:val="auto"/>
          <w:kern w:val="0"/>
          <w:sz w:val="32"/>
          <w:szCs w:val="32"/>
          <w:lang w:val="zh-CN"/>
        </w:rPr>
        <w:t>产品因</w:t>
      </w:r>
      <w:r>
        <w:rPr>
          <w:rFonts w:ascii="仿宋_GB2312" w:hAnsi="仿宋" w:eastAsia="仿宋_GB2312" w:cs="宋体"/>
          <w:color w:val="auto"/>
          <w:kern w:val="0"/>
          <w:sz w:val="32"/>
          <w:szCs w:val="32"/>
          <w:lang w:val="zh-CN"/>
        </w:rPr>
        <w:t>储存不当导致</w:t>
      </w:r>
      <w:r>
        <w:rPr>
          <w:rFonts w:hint="eastAsia" w:ascii="仿宋_GB2312" w:hAnsi="仿宋" w:cs="宋体"/>
          <w:color w:val="auto"/>
          <w:kern w:val="0"/>
          <w:sz w:val="32"/>
          <w:szCs w:val="32"/>
          <w:lang w:val="zh-CN"/>
        </w:rPr>
        <w:t>其中的</w:t>
      </w:r>
      <w:r>
        <w:rPr>
          <w:rFonts w:ascii="仿宋_GB2312" w:hAnsi="仿宋" w:eastAsia="仿宋_GB2312" w:cs="宋体"/>
          <w:color w:val="auto"/>
          <w:kern w:val="0"/>
          <w:sz w:val="32"/>
          <w:szCs w:val="32"/>
          <w:lang w:val="zh-CN"/>
        </w:rPr>
        <w:t>脂肪氧化</w:t>
      </w:r>
      <w:r>
        <w:rPr>
          <w:rFonts w:hint="eastAsia" w:ascii="仿宋_GB2312" w:hAnsi="仿宋" w:cs="宋体"/>
          <w:color w:val="auto"/>
          <w:kern w:val="0"/>
          <w:sz w:val="32"/>
          <w:szCs w:val="32"/>
          <w:lang w:val="zh-CN"/>
        </w:rPr>
        <w:t>或</w:t>
      </w:r>
      <w:r>
        <w:rPr>
          <w:rFonts w:ascii="仿宋_GB2312" w:hAnsi="仿宋" w:eastAsia="仿宋_GB2312" w:cs="宋体"/>
          <w:color w:val="auto"/>
          <w:kern w:val="0"/>
          <w:sz w:val="32"/>
          <w:szCs w:val="32"/>
          <w:lang w:val="zh-CN"/>
        </w:rPr>
        <w:t>生产用油变质，或</w:t>
      </w:r>
      <w:r>
        <w:rPr>
          <w:rFonts w:hint="eastAsia" w:ascii="仿宋_GB2312" w:hAnsi="仿宋" w:cs="宋体"/>
          <w:color w:val="auto"/>
          <w:kern w:val="0"/>
          <w:sz w:val="32"/>
          <w:szCs w:val="32"/>
          <w:lang w:val="zh-CN"/>
        </w:rPr>
        <w:t>因产品</w:t>
      </w:r>
      <w:r>
        <w:rPr>
          <w:rFonts w:ascii="仿宋_GB2312" w:hAnsi="仿宋" w:eastAsia="仿宋_GB2312" w:cs="宋体"/>
          <w:color w:val="auto"/>
          <w:kern w:val="0"/>
          <w:sz w:val="32"/>
          <w:szCs w:val="32"/>
          <w:lang w:val="zh-CN"/>
        </w:rPr>
        <w:t>漏气、储存过程中环境条件控制不当</w:t>
      </w:r>
      <w:r>
        <w:rPr>
          <w:rFonts w:hint="eastAsia" w:ascii="仿宋_GB2312" w:hAnsi="仿宋" w:cs="宋体"/>
          <w:color w:val="auto"/>
          <w:kern w:val="0"/>
          <w:sz w:val="32"/>
          <w:szCs w:val="32"/>
          <w:lang w:val="zh-CN"/>
        </w:rPr>
        <w:t>而</w:t>
      </w:r>
      <w:r>
        <w:rPr>
          <w:rFonts w:ascii="仿宋_GB2312" w:hAnsi="仿宋" w:eastAsia="仿宋_GB2312" w:cs="宋体"/>
          <w:color w:val="auto"/>
          <w:kern w:val="0"/>
          <w:sz w:val="32"/>
          <w:szCs w:val="32"/>
          <w:lang w:val="zh-CN"/>
        </w:rPr>
        <w:t>导致。</w:t>
      </w:r>
    </w:p>
    <w:p>
      <w:pPr>
        <w:keepNext w:val="0"/>
        <w:keepLines w:val="0"/>
        <w:pageBreakBefore w:val="0"/>
        <w:kinsoku/>
        <w:wordWrap/>
        <w:overflowPunct/>
        <w:topLinePunct w:val="0"/>
        <w:autoSpaceDE/>
        <w:autoSpaceDN/>
        <w:bidi w:val="0"/>
        <w:adjustRightInd/>
        <w:snapToGrid/>
        <w:spacing w:line="560" w:lineRule="exact"/>
        <w:textAlignment w:val="auto"/>
        <w:rPr>
          <w:rFonts w:ascii="楷体_GB2312" w:hAnsi="楷体" w:eastAsia="楷体_GB2312" w:cs="仿宋_GB2312"/>
          <w:b/>
          <w:sz w:val="32"/>
          <w:szCs w:val="32"/>
        </w:rPr>
      </w:pPr>
      <w:r>
        <w:rPr>
          <w:rFonts w:hint="eastAsia" w:ascii="楷体_GB2312" w:hAnsi="楷体" w:eastAsia="楷体_GB2312" w:cs="宋体"/>
          <w:b/>
          <w:color w:val="000000"/>
          <w:kern w:val="0"/>
          <w:sz w:val="32"/>
          <w:szCs w:val="32"/>
          <w:lang w:eastAsia="zh-CN"/>
        </w:rPr>
        <w:t>（三）</w:t>
      </w:r>
      <w:r>
        <w:rPr>
          <w:rFonts w:hint="eastAsia" w:ascii="楷体_GB2312" w:hAnsi="楷体" w:eastAsia="楷体_GB2312" w:cs="宋体"/>
          <w:b/>
          <w:color w:val="000000"/>
          <w:kern w:val="0"/>
          <w:sz w:val="32"/>
          <w:szCs w:val="32"/>
        </w:rPr>
        <w:t>铝的残留量</w:t>
      </w:r>
    </w:p>
    <w:p>
      <w:pPr>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铝作为食品添加剂硫酸铝钾/硫酸铝铵的重要成分，经常会添加在食物中作为膨松剂或稳定剂。</w:t>
      </w:r>
      <w:r>
        <w:rPr>
          <w:rFonts w:hint="eastAsia" w:ascii="仿宋_GB2312" w:hAnsi="仿宋" w:eastAsia="仿宋_GB2312"/>
          <w:sz w:val="32"/>
          <w:szCs w:val="32"/>
        </w:rPr>
        <w:t>《绿色食品 淀粉及淀粉制品》（NY/T 1039-2014）中规定,淀粉制品中铝的残留量(干样品，以Al计)不得检出（</w:t>
      </w:r>
      <w:r>
        <w:rPr>
          <w:rFonts w:hint="eastAsia" w:ascii="仿宋_GB2312" w:hAnsi="仿宋" w:eastAsia="仿宋_GB2312"/>
          <w:sz w:val="32"/>
          <w:szCs w:val="32"/>
          <w:lang w:val="en-US" w:eastAsia="zh-CN"/>
        </w:rPr>
        <w:t>＜</w:t>
      </w:r>
      <w:r>
        <w:rPr>
          <w:rFonts w:hint="eastAsia" w:ascii="仿宋_GB2312" w:hAnsi="仿宋" w:eastAsia="仿宋_GB2312"/>
          <w:sz w:val="32"/>
          <w:szCs w:val="32"/>
        </w:rPr>
        <w:t>25 mg/kg）。</w:t>
      </w:r>
      <w:r>
        <w:rPr>
          <w:rFonts w:hint="eastAsia" w:ascii="仿宋_GB2312" w:hAnsi="仿宋" w:eastAsia="仿宋_GB2312" w:cs="仿宋_GB2312"/>
          <w:sz w:val="32"/>
          <w:szCs w:val="32"/>
        </w:rPr>
        <w:t>铝有一定的慢性毒性，摄入铝超标的食品，在体内可造成铝的蓄积，轻者会使食欲减退，引起贫血，重者会表现为神经毒性，使人运动失调、记忆力衰退等。</w:t>
      </w:r>
    </w:p>
    <w:p>
      <w:pPr>
        <w:keepNext w:val="0"/>
        <w:keepLines w:val="0"/>
        <w:pageBreakBefore w:val="0"/>
        <w:widowControl/>
        <w:kinsoku/>
        <w:wordWrap/>
        <w:overflowPunct/>
        <w:topLinePunct w:val="0"/>
        <w:autoSpaceDE/>
        <w:autoSpaceDN/>
        <w:bidi w:val="0"/>
        <w:adjustRightInd/>
        <w:snapToGrid/>
        <w:spacing w:line="560" w:lineRule="exact"/>
        <w:ind w:firstLine="629" w:firstLineChars="196"/>
        <w:jc w:val="left"/>
        <w:textAlignment w:val="auto"/>
        <w:rPr>
          <w:rFonts w:ascii="楷体_GB2312" w:hAnsi="宋体" w:eastAsia="楷体_GB2312" w:cs="宋体"/>
          <w:b/>
          <w:kern w:val="0"/>
          <w:sz w:val="32"/>
          <w:szCs w:val="32"/>
        </w:rPr>
      </w:pPr>
      <w:r>
        <w:rPr>
          <w:rFonts w:hint="eastAsia" w:ascii="楷体_GB2312" w:hAnsi="宋体" w:eastAsia="楷体_GB2312" w:cs="宋体"/>
          <w:b/>
          <w:color w:val="auto"/>
          <w:kern w:val="0"/>
          <w:sz w:val="32"/>
          <w:szCs w:val="32"/>
        </w:rPr>
        <w:t>（</w:t>
      </w:r>
      <w:r>
        <w:rPr>
          <w:rFonts w:hint="eastAsia" w:ascii="楷体_GB2312" w:hAnsi="宋体" w:eastAsia="楷体_GB2312" w:cs="宋体"/>
          <w:b/>
          <w:color w:val="auto"/>
          <w:kern w:val="0"/>
          <w:sz w:val="32"/>
          <w:szCs w:val="32"/>
          <w:lang w:eastAsia="zh-CN"/>
        </w:rPr>
        <w:t>四</w:t>
      </w:r>
      <w:r>
        <w:rPr>
          <w:rFonts w:hint="eastAsia" w:ascii="楷体_GB2312" w:hAnsi="宋体" w:eastAsia="楷体_GB2312" w:cs="宋体"/>
          <w:b/>
          <w:color w:val="auto"/>
          <w:kern w:val="0"/>
          <w:sz w:val="32"/>
          <w:szCs w:val="32"/>
        </w:rPr>
        <w:t>）</w:t>
      </w:r>
      <w:r>
        <w:rPr>
          <w:rFonts w:ascii="楷体_GB2312" w:hAnsi="宋体" w:eastAsia="楷体_GB2312" w:cs="宋体"/>
          <w:b/>
          <w:color w:val="auto"/>
          <w:kern w:val="0"/>
          <w:sz w:val="32"/>
          <w:szCs w:val="32"/>
        </w:rPr>
        <w:t>多西</w:t>
      </w:r>
      <w:r>
        <w:rPr>
          <w:rFonts w:ascii="楷体_GB2312" w:hAnsi="宋体" w:eastAsia="楷体_GB2312" w:cs="宋体"/>
          <w:b/>
          <w:kern w:val="0"/>
          <w:sz w:val="32"/>
          <w:szCs w:val="32"/>
        </w:rPr>
        <w:t>环素（强力霉素）</w:t>
      </w:r>
    </w:p>
    <w:p>
      <w:pPr>
        <w:pStyle w:val="2"/>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firstLine="480" w:firstLineChars="200"/>
        <w:textAlignment w:val="auto"/>
        <w:rPr>
          <w:rFonts w:hint="eastAsia" w:ascii="仿宋_GB2312" w:hAnsi="仿宋" w:eastAsia="仿宋_GB2312" w:cs="仿宋"/>
          <w:kern w:val="2"/>
          <w:sz w:val="32"/>
          <w:szCs w:val="32"/>
          <w:lang w:val="en-US" w:eastAsia="zh-CN" w:bidi="ar-SA"/>
        </w:rPr>
      </w:pPr>
      <w:r>
        <w:rPr>
          <w:rFonts w:ascii="宋体" w:hAnsi="宋体" w:cs="宋体"/>
          <w:kern w:val="0"/>
          <w:sz w:val="24"/>
          <w:szCs w:val="24"/>
        </w:rPr>
        <w:t> </w:t>
      </w:r>
      <w:r>
        <w:rPr>
          <w:rFonts w:hint="eastAsia" w:ascii="仿宋_GB2312" w:hAnsi="仿宋" w:eastAsia="仿宋_GB2312" w:cs="仿宋"/>
          <w:kern w:val="2"/>
          <w:sz w:val="32"/>
          <w:szCs w:val="32"/>
          <w:lang w:val="en-US" w:eastAsia="zh-CN" w:bidi="ar-SA"/>
        </w:rPr>
        <w:t>多西环素（强力霉素）是一种四环素类药物，一般用于治疗衣原体支原体感染。《食品安全国家标准 食品中兽药最大残留限量》（GB 31650-2019）中规定，多西环素（强力霉素）在禽的肌肉中最高残留限量为100μg/kg，但产蛋期家禽禁用（鸡蛋中不得检出多西环素）。长期食用多西环素（强力霉素）残留超标的食品，可使病原体产生耐药性，对人体健康有一定影响。</w:t>
      </w:r>
    </w:p>
    <w:p>
      <w:pPr>
        <w:spacing w:line="560" w:lineRule="exact"/>
        <w:ind w:firstLine="642" w:firstLineChars="200"/>
        <w:rPr>
          <w:rFonts w:ascii="楷体_GB2312" w:hAnsi="楷体" w:eastAsia="楷体_GB2312" w:cs="仿宋_GB2312"/>
          <w:b/>
          <w:color w:val="auto"/>
          <w:sz w:val="32"/>
          <w:szCs w:val="32"/>
        </w:rPr>
      </w:pPr>
      <w:r>
        <w:rPr>
          <w:rFonts w:hint="eastAsia" w:ascii="楷体_GB2312" w:hAnsi="楷体" w:eastAsia="楷体_GB2312" w:cs="仿宋_GB2312"/>
          <w:b/>
          <w:color w:val="auto"/>
          <w:sz w:val="32"/>
          <w:szCs w:val="32"/>
        </w:rPr>
        <w:t>（</w:t>
      </w:r>
      <w:r>
        <w:rPr>
          <w:rFonts w:hint="eastAsia" w:ascii="楷体_GB2312" w:hAnsi="楷体" w:eastAsia="楷体_GB2312" w:cs="仿宋_GB2312"/>
          <w:b/>
          <w:color w:val="auto"/>
          <w:sz w:val="32"/>
          <w:szCs w:val="32"/>
          <w:lang w:eastAsia="zh-CN"/>
        </w:rPr>
        <w:t>五</w:t>
      </w:r>
      <w:r>
        <w:rPr>
          <w:rFonts w:hint="eastAsia" w:ascii="楷体_GB2312" w:hAnsi="楷体" w:eastAsia="楷体_GB2312" w:cs="仿宋_GB2312"/>
          <w:b/>
          <w:color w:val="auto"/>
          <w:sz w:val="32"/>
          <w:szCs w:val="32"/>
        </w:rPr>
        <w:t>）脱氢乙酸及其钠盐</w:t>
      </w:r>
    </w:p>
    <w:p>
      <w:pPr>
        <w:spacing w:line="560" w:lineRule="exact"/>
        <w:ind w:firstLine="640" w:firstLineChars="200"/>
        <w:rPr>
          <w:rFonts w:ascii="仿宋_GB2312" w:hAnsi="仿宋" w:eastAsia="仿宋_GB2312" w:cs="宋体"/>
          <w:kern w:val="0"/>
          <w:sz w:val="32"/>
          <w:szCs w:val="32"/>
          <w:lang w:val="zh-CN"/>
        </w:rPr>
      </w:pPr>
      <w:r>
        <w:rPr>
          <w:rFonts w:hint="eastAsia" w:ascii="仿宋_GB2312" w:hAnsi="仿宋" w:eastAsia="仿宋_GB2312"/>
          <w:color w:val="auto"/>
          <w:sz w:val="32"/>
          <w:szCs w:val="32"/>
        </w:rPr>
        <w:t>脱氢乙酸及其钠盐因对霉菌具有较强的抑制作用而被广泛用作防腐剂使用。《食品安全国家标准 食品添加剂使用标准》（GB 2760-2014）中规定，</w:t>
      </w:r>
      <w:r>
        <w:rPr>
          <w:rFonts w:hint="eastAsia" w:ascii="仿宋_GB2312" w:hAnsi="仿宋"/>
          <w:color w:val="auto"/>
          <w:sz w:val="32"/>
          <w:szCs w:val="32"/>
          <w:lang w:eastAsia="zh-CN"/>
        </w:rPr>
        <w:t>米粉</w:t>
      </w:r>
      <w:r>
        <w:rPr>
          <w:rFonts w:hint="eastAsia" w:ascii="仿宋_GB2312" w:hAnsi="仿宋" w:eastAsia="仿宋_GB2312"/>
          <w:color w:val="auto"/>
          <w:sz w:val="32"/>
          <w:szCs w:val="32"/>
        </w:rPr>
        <w:t>制品中不得使用脱氢乙酸及其钠盐。</w:t>
      </w:r>
      <w:r>
        <w:rPr>
          <w:rFonts w:hint="eastAsia" w:ascii="仿宋_GB2312" w:hAnsi="仿宋" w:eastAsia="仿宋_GB2312" w:cs="宋体"/>
          <w:color w:val="auto"/>
          <w:kern w:val="0"/>
          <w:sz w:val="32"/>
          <w:szCs w:val="32"/>
          <w:lang w:val="zh-CN"/>
        </w:rPr>
        <w:t>由于脱氢乙酸可与血浆中的白蛋白或组织中蛋白质的胺基结合，若长期</w:t>
      </w:r>
      <w:r>
        <w:rPr>
          <w:rFonts w:hint="eastAsia" w:ascii="仿宋_GB2312" w:hAnsi="仿宋" w:eastAsia="仿宋_GB2312" w:cs="宋体"/>
          <w:kern w:val="0"/>
          <w:sz w:val="32"/>
          <w:szCs w:val="32"/>
          <w:lang w:val="zh-CN"/>
        </w:rPr>
        <w:t>过量食用脱氢乙酸含量超标的食品可能会引起肝、肾和中枢神经系统的损伤。</w:t>
      </w:r>
    </w:p>
    <w:p>
      <w:pPr>
        <w:spacing w:line="560" w:lineRule="exact"/>
        <w:ind w:firstLine="642" w:firstLineChars="200"/>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（六）氧乐果</w:t>
      </w:r>
    </w:p>
    <w:p>
      <w:pPr>
        <w:spacing w:line="560" w:lineRule="exact"/>
        <w:ind w:firstLine="640" w:firstLineChars="200"/>
        <w:rPr>
          <w:rFonts w:ascii="仿宋_GB2312" w:hAnsi="楷体" w:eastAsia="仿宋_GB2312" w:cs="Arial"/>
          <w:b/>
          <w:sz w:val="32"/>
          <w:szCs w:val="32"/>
          <w:shd w:val="clear" w:color="auto" w:fill="FFFFFF"/>
        </w:rPr>
      </w:pPr>
      <w:r>
        <w:rPr>
          <w:rFonts w:hint="eastAsia" w:ascii="仿宋_GB2312" w:hAnsi="仿宋" w:eastAsia="仿宋_GB2312"/>
          <w:sz w:val="32"/>
          <w:szCs w:val="32"/>
        </w:rPr>
        <w:t>氧乐果是一种内吸性强，杀虫活性高的杀虫剂。《食品安全国家标准 食品中农药最大残留限量》（GB 2763-2019）中规定</w:t>
      </w:r>
      <w:r>
        <w:rPr>
          <w:rFonts w:hint="eastAsia" w:ascii="仿宋_GB2312" w:hAnsi="仿宋" w:eastAsia="仿宋_GB2312"/>
          <w:color w:val="auto"/>
          <w:sz w:val="32"/>
          <w:szCs w:val="32"/>
        </w:rPr>
        <w:t>，</w:t>
      </w:r>
      <w:r>
        <w:rPr>
          <w:rFonts w:hint="eastAsia" w:ascii="仿宋_GB2312" w:hAnsi="仿宋"/>
          <w:color w:val="auto"/>
          <w:sz w:val="32"/>
          <w:szCs w:val="32"/>
          <w:lang w:eastAsia="zh-CN"/>
        </w:rPr>
        <w:t>茄果类</w:t>
      </w:r>
      <w:r>
        <w:rPr>
          <w:rFonts w:hint="eastAsia" w:ascii="仿宋_GB2312" w:hAnsi="仿宋" w:eastAsia="仿宋_GB2312"/>
          <w:color w:val="auto"/>
          <w:sz w:val="32"/>
          <w:szCs w:val="32"/>
        </w:rPr>
        <w:t>蔬菜中氧乐果残留限量值应≤0.02mg/kg。大部分喷洒的氧乐果会逸散在周围的土壤、大气、水体中，造成生态系统的污染，有可能会对环境生物产生潜在危害；蔬菜、水果中残留的氧乐果进入人体后对体内胆碱酯酶有抑制作用，可能会</w:t>
      </w:r>
      <w:r>
        <w:rPr>
          <w:rFonts w:hint="eastAsia" w:ascii="仿宋_GB2312" w:hAnsi="仿宋" w:eastAsia="仿宋_GB2312"/>
          <w:sz w:val="32"/>
          <w:szCs w:val="32"/>
        </w:rPr>
        <w:t>对人体造成各种急慢性毒性，甚至致癌致突变。</w:t>
      </w:r>
    </w:p>
    <w:p>
      <w:pPr>
        <w:spacing w:line="560" w:lineRule="exact"/>
        <w:ind w:firstLine="642" w:firstLineChars="200"/>
        <w:rPr>
          <w:rFonts w:ascii="楷体_GB2312" w:hAnsi="楷体" w:eastAsia="楷体_GB2312" w:cs="楷体"/>
          <w:b/>
          <w:bCs/>
          <w:sz w:val="32"/>
          <w:szCs w:val="32"/>
          <w:shd w:val="clear" w:color="auto" w:fill="FFFFFF"/>
        </w:rPr>
      </w:pPr>
      <w:r>
        <w:rPr>
          <w:rFonts w:hint="eastAsia" w:ascii="楷体_GB2312" w:hAnsi="楷体" w:eastAsia="楷体_GB2312" w:cs="楷体"/>
          <w:b/>
          <w:bCs/>
          <w:sz w:val="32"/>
          <w:szCs w:val="32"/>
          <w:shd w:val="clear" w:color="auto" w:fill="FFFFFF"/>
        </w:rPr>
        <w:t>（</w:t>
      </w:r>
      <w:r>
        <w:rPr>
          <w:rFonts w:hint="eastAsia" w:ascii="楷体_GB2312" w:hAnsi="楷体" w:eastAsia="楷体_GB2312" w:cs="楷体"/>
          <w:b/>
          <w:bCs/>
          <w:sz w:val="32"/>
          <w:szCs w:val="32"/>
          <w:shd w:val="clear" w:color="auto" w:fill="FFFFFF"/>
          <w:lang w:eastAsia="zh-CN"/>
        </w:rPr>
        <w:t>七</w:t>
      </w:r>
      <w:r>
        <w:rPr>
          <w:rFonts w:hint="eastAsia" w:ascii="楷体_GB2312" w:hAnsi="楷体" w:eastAsia="楷体_GB2312" w:cs="楷体"/>
          <w:b/>
          <w:bCs/>
          <w:sz w:val="32"/>
          <w:szCs w:val="32"/>
          <w:shd w:val="clear" w:color="auto" w:fill="FFFFFF"/>
        </w:rPr>
        <w:t>）4-氯苯氧乙酸钠</w:t>
      </w:r>
    </w:p>
    <w:p>
      <w:pPr>
        <w:spacing w:line="560" w:lineRule="exact"/>
        <w:ind w:firstLine="645"/>
        <w:rPr>
          <w:rFonts w:ascii="仿宋_GB2312" w:hAnsi="仿宋" w:eastAsia="仿宋_GB2312" w:cs="Arial"/>
          <w:sz w:val="32"/>
          <w:szCs w:val="32"/>
          <w:shd w:val="clear" w:color="auto" w:fill="FFFFFF"/>
        </w:rPr>
      </w:pPr>
      <w:r>
        <w:rPr>
          <w:rFonts w:hint="eastAsia" w:ascii="仿宋_GB2312" w:hAnsi="仿宋" w:eastAsia="仿宋_GB2312" w:cs="Arial"/>
          <w:sz w:val="32"/>
          <w:szCs w:val="32"/>
          <w:shd w:val="clear" w:color="auto" w:fill="FFFFFF"/>
        </w:rPr>
        <w:t>4-氯苯氧乙酸钠是一种植物生长调节剂，可以促进植物体内的生物合成和生物转移，不仅可防止落花落果、提高做果率、增进果实生长速度、促进提前成熟，还能达到改善植物品质的目的，</w:t>
      </w:r>
      <w:r>
        <w:rPr>
          <w:rFonts w:hint="eastAsia" w:ascii="仿宋_GB2312" w:hAnsi="仿宋" w:eastAsia="仿宋_GB2312" w:cs="Arial"/>
          <w:color w:val="auto"/>
          <w:sz w:val="32"/>
          <w:szCs w:val="32"/>
          <w:shd w:val="clear" w:color="auto" w:fill="FFFFFF"/>
        </w:rPr>
        <w:t>同时它还有除草剂的作用。但由于其对人体有一定积累毒性，国家已取消其作为食品添加剂的生产许可申请。</w:t>
      </w:r>
      <w:r>
        <w:rPr>
          <w:rFonts w:hint="eastAsia" w:ascii="仿宋_GB2312" w:hAnsi="仿宋" w:eastAsia="仿宋_GB2312"/>
          <w:color w:val="auto"/>
          <w:sz w:val="32"/>
          <w:szCs w:val="32"/>
        </w:rPr>
        <w:t>《关于豆芽生产过程</w:t>
      </w:r>
      <w:r>
        <w:rPr>
          <w:rFonts w:hint="eastAsia" w:ascii="仿宋_GB2312" w:hAnsi="仿宋" w:eastAsia="仿宋_GB2312"/>
          <w:sz w:val="32"/>
          <w:szCs w:val="32"/>
        </w:rPr>
        <w:t>中禁止使用 6-苄基腺嘌呤 等物质的公告》</w:t>
      </w:r>
      <w:r>
        <w:rPr>
          <w:rFonts w:hint="eastAsia" w:ascii="仿宋_GB2312" w:hAnsi="仿宋" w:eastAsia="仿宋_GB2312" w:cs="宋体"/>
          <w:kern w:val="0"/>
          <w:sz w:val="32"/>
          <w:szCs w:val="32"/>
          <w:lang w:val="zh-CN"/>
        </w:rPr>
        <w:t>(</w:t>
      </w:r>
      <w:r>
        <w:rPr>
          <w:rFonts w:hint="eastAsia" w:ascii="仿宋_GB2312" w:hAnsi="仿宋" w:eastAsia="仿宋_GB2312"/>
          <w:sz w:val="32"/>
          <w:szCs w:val="32"/>
        </w:rPr>
        <w:t>国家食品药品监督管理总局、农业部、国家卫 生和计划生育委员会公告 2015 年第 11 号</w:t>
      </w:r>
      <w:r>
        <w:rPr>
          <w:rFonts w:hint="eastAsia" w:ascii="仿宋_GB2312" w:hAnsi="仿宋" w:eastAsia="仿宋_GB2312" w:cs="宋体"/>
          <w:kern w:val="0"/>
          <w:sz w:val="32"/>
          <w:szCs w:val="32"/>
          <w:lang w:val="zh-CN"/>
        </w:rPr>
        <w:t>)</w:t>
      </w:r>
      <w:r>
        <w:rPr>
          <w:rFonts w:hint="eastAsia" w:ascii="仿宋_GB2312" w:hAnsi="仿宋" w:eastAsia="仿宋_GB2312" w:cs="宋体"/>
          <w:sz w:val="32"/>
          <w:szCs w:val="32"/>
        </w:rPr>
        <w:t>中要求，</w:t>
      </w:r>
      <w:r>
        <w:rPr>
          <w:rFonts w:hint="eastAsia" w:ascii="仿宋_GB2312" w:hAnsi="仿宋" w:eastAsia="仿宋_GB2312" w:cs="Arial"/>
          <w:sz w:val="32"/>
          <w:szCs w:val="32"/>
          <w:shd w:val="clear" w:color="auto" w:fill="FFFFFF"/>
        </w:rPr>
        <w:t>豆芽中不得检出4-氯苯氧乙酸。豆芽作为一种食用量非常大的蔬菜，4-氯苯氧乙酸钠的残留在人体内的累积所产生的有害作用不容忽视。</w:t>
      </w:r>
    </w:p>
    <w:p>
      <w:pPr>
        <w:spacing w:line="560" w:lineRule="exact"/>
        <w:ind w:firstLine="642" w:firstLineChars="200"/>
        <w:rPr>
          <w:rFonts w:hint="eastAsia" w:ascii="楷体_GB2312" w:hAnsi="楷体" w:eastAsia="楷体_GB2312" w:cs="楷体"/>
          <w:b/>
          <w:bCs/>
          <w:sz w:val="32"/>
          <w:szCs w:val="32"/>
          <w:shd w:val="clear" w:color="auto" w:fill="FFFFFF"/>
        </w:rPr>
      </w:pPr>
      <w:r>
        <w:rPr>
          <w:rFonts w:hint="eastAsia" w:ascii="楷体_GB2312" w:hAnsi="楷体" w:eastAsia="楷体_GB2312" w:cs="楷体"/>
          <w:b/>
          <w:bCs/>
          <w:sz w:val="32"/>
          <w:szCs w:val="32"/>
          <w:shd w:val="clear" w:color="auto" w:fill="FFFFFF"/>
        </w:rPr>
        <w:t>（</w:t>
      </w:r>
      <w:r>
        <w:rPr>
          <w:rFonts w:hint="eastAsia" w:ascii="楷体_GB2312" w:hAnsi="楷体" w:eastAsia="楷体_GB2312" w:cs="楷体"/>
          <w:b/>
          <w:bCs/>
          <w:sz w:val="32"/>
          <w:szCs w:val="32"/>
          <w:shd w:val="clear" w:color="auto" w:fill="FFFFFF"/>
          <w:lang w:eastAsia="zh-CN"/>
        </w:rPr>
        <w:t>八</w:t>
      </w:r>
      <w:r>
        <w:rPr>
          <w:rFonts w:hint="eastAsia" w:ascii="楷体_GB2312" w:hAnsi="楷体" w:eastAsia="楷体_GB2312" w:cs="楷体"/>
          <w:b/>
          <w:bCs/>
          <w:sz w:val="32"/>
          <w:szCs w:val="32"/>
          <w:shd w:val="clear" w:color="auto" w:fill="FFFFFF"/>
        </w:rPr>
        <w:t>）6-苄基腺嘌呤</w:t>
      </w:r>
    </w:p>
    <w:p>
      <w:pPr>
        <w:pStyle w:val="8"/>
        <w:shd w:val="clear" w:color="auto" w:fill="FFFFFF"/>
        <w:spacing w:before="0" w:beforeAutospacing="0" w:after="0" w:afterAutospacing="0" w:line="560" w:lineRule="exact"/>
        <w:ind w:firstLine="704" w:firstLineChars="220"/>
        <w:rPr>
          <w:rFonts w:ascii="仿宋_GB2312" w:hAnsi="仿宋" w:eastAsia="仿宋_GB2312" w:cs="Arial"/>
          <w:sz w:val="32"/>
          <w:szCs w:val="32"/>
          <w:shd w:val="clear" w:color="auto" w:fill="FFFFFF"/>
        </w:rPr>
      </w:pPr>
      <w:r>
        <w:rPr>
          <w:rFonts w:hint="eastAsia" w:ascii="仿宋_GB2312" w:hAnsi="仿宋" w:eastAsia="仿宋_GB2312" w:cs="Arial"/>
          <w:sz w:val="32"/>
          <w:szCs w:val="32"/>
          <w:shd w:val="clear" w:color="auto" w:fill="FFFFFF"/>
        </w:rPr>
        <w:t>6-苄基腺嘌呤是</w:t>
      </w:r>
      <w:r>
        <w:rPr>
          <w:rFonts w:ascii="仿宋_GB2312" w:hAnsi="仿宋" w:eastAsia="仿宋_GB2312" w:cs="Arial"/>
          <w:sz w:val="32"/>
          <w:szCs w:val="32"/>
          <w:shd w:val="clear" w:color="auto" w:fill="FFFFFF"/>
        </w:rPr>
        <w:t>一种广泛使用的添加于植物生长培养基的细胞分裂素。具有抑制植物叶内叶绿素、核酸、蛋白质的分解，保绿防老;将</w:t>
      </w:r>
      <w:r>
        <w:fldChar w:fldCharType="begin"/>
      </w:r>
      <w:r>
        <w:instrText xml:space="preserve"> HYPERLINK "https://baike.so.com/doc/914377-966548.html" \t "_blank" </w:instrText>
      </w:r>
      <w:r>
        <w:fldChar w:fldCharType="separate"/>
      </w:r>
      <w:r>
        <w:rPr>
          <w:rFonts w:ascii="仿宋_GB2312" w:hAnsi="仿宋" w:eastAsia="仿宋_GB2312"/>
          <w:sz w:val="32"/>
          <w:szCs w:val="32"/>
        </w:rPr>
        <w:t>氨基酸</w:t>
      </w:r>
      <w:r>
        <w:rPr>
          <w:rFonts w:ascii="仿宋_GB2312" w:hAnsi="仿宋" w:eastAsia="仿宋_GB2312"/>
          <w:sz w:val="32"/>
          <w:szCs w:val="32"/>
        </w:rPr>
        <w:fldChar w:fldCharType="end"/>
      </w:r>
      <w:r>
        <w:rPr>
          <w:rFonts w:ascii="仿宋_GB2312" w:hAnsi="仿宋" w:eastAsia="仿宋_GB2312" w:cs="Arial"/>
          <w:sz w:val="32"/>
          <w:szCs w:val="32"/>
          <w:shd w:val="clear" w:color="auto" w:fill="FFFFFF"/>
        </w:rPr>
        <w:t>、</w:t>
      </w:r>
      <w:r>
        <w:fldChar w:fldCharType="begin"/>
      </w:r>
      <w:r>
        <w:instrText xml:space="preserve"> HYPERLINK "https://baike.so.com/doc/626543-663171.html" \t "_blank" </w:instrText>
      </w:r>
      <w:r>
        <w:fldChar w:fldCharType="separate"/>
      </w:r>
      <w:r>
        <w:rPr>
          <w:rFonts w:ascii="仿宋_GB2312" w:hAnsi="仿宋" w:eastAsia="仿宋_GB2312"/>
          <w:sz w:val="32"/>
          <w:szCs w:val="32"/>
        </w:rPr>
        <w:t>生长素</w:t>
      </w:r>
      <w:r>
        <w:rPr>
          <w:rFonts w:ascii="仿宋_GB2312" w:hAnsi="仿宋" w:eastAsia="仿宋_GB2312"/>
          <w:sz w:val="32"/>
          <w:szCs w:val="32"/>
        </w:rPr>
        <w:fldChar w:fldCharType="end"/>
      </w:r>
      <w:r>
        <w:rPr>
          <w:rFonts w:ascii="仿宋_GB2312" w:hAnsi="仿宋" w:eastAsia="仿宋_GB2312" w:cs="Arial"/>
          <w:sz w:val="32"/>
          <w:szCs w:val="32"/>
          <w:shd w:val="clear" w:color="auto" w:fill="FFFFFF"/>
        </w:rPr>
        <w:t>、无机盐等向处理部位调运等多种效能，广泛用在农业、果树和园艺作物从发芽到收获的各个阶段</w:t>
      </w:r>
      <w:r>
        <w:rPr>
          <w:rFonts w:hint="eastAsia" w:ascii="仿宋_GB2312" w:hAnsi="仿宋" w:eastAsia="仿宋_GB2312" w:cs="Arial"/>
          <w:sz w:val="32"/>
          <w:szCs w:val="32"/>
          <w:shd w:val="clear" w:color="auto" w:fill="FFFFFF"/>
        </w:rPr>
        <w:t>。</w:t>
      </w:r>
      <w:r>
        <w:rPr>
          <w:rFonts w:hint="eastAsia" w:ascii="仿宋_GB2312" w:hAnsi="仿宋" w:eastAsia="仿宋_GB2312"/>
          <w:sz w:val="32"/>
          <w:szCs w:val="32"/>
        </w:rPr>
        <w:t>《关于豆芽生产过程中禁止使用 6-苄基腺嘌呤 等物质的公告》</w:t>
      </w:r>
      <w:r>
        <w:rPr>
          <w:rFonts w:hint="eastAsia" w:ascii="仿宋_GB2312" w:hAnsi="仿宋" w:eastAsia="仿宋_GB2312"/>
          <w:sz w:val="32"/>
          <w:szCs w:val="32"/>
          <w:lang w:val="zh-CN"/>
        </w:rPr>
        <w:t>(</w:t>
      </w:r>
      <w:r>
        <w:rPr>
          <w:rFonts w:hint="eastAsia" w:ascii="仿宋_GB2312" w:hAnsi="仿宋" w:eastAsia="仿宋_GB2312"/>
          <w:sz w:val="32"/>
          <w:szCs w:val="32"/>
        </w:rPr>
        <w:t>国家食品药品监督管理总局、农业部、国家卫 生和计划生育委员会公告 2015 年第 11 号</w:t>
      </w:r>
      <w:r>
        <w:rPr>
          <w:rFonts w:hint="eastAsia" w:ascii="仿宋_GB2312" w:hAnsi="仿宋" w:eastAsia="仿宋_GB2312"/>
          <w:sz w:val="32"/>
          <w:szCs w:val="32"/>
          <w:lang w:val="zh-CN"/>
        </w:rPr>
        <w:t>)</w:t>
      </w:r>
      <w:r>
        <w:rPr>
          <w:rFonts w:hint="eastAsia" w:ascii="仿宋_GB2312" w:hAnsi="仿宋" w:eastAsia="仿宋_GB2312"/>
          <w:sz w:val="32"/>
          <w:szCs w:val="32"/>
        </w:rPr>
        <w:t>中要求，</w:t>
      </w:r>
      <w:r>
        <w:rPr>
          <w:rFonts w:hint="eastAsia" w:ascii="仿宋_GB2312" w:hAnsi="仿宋" w:eastAsia="仿宋_GB2312" w:cs="Arial"/>
          <w:sz w:val="32"/>
          <w:szCs w:val="32"/>
          <w:shd w:val="clear" w:color="auto" w:fill="FFFFFF"/>
        </w:rPr>
        <w:t>豆芽中不得检出6-苄基腺嘌呤。</w:t>
      </w:r>
      <w:r>
        <w:rPr>
          <w:rFonts w:ascii="仿宋_GB2312" w:hAnsi="仿宋" w:eastAsia="仿宋_GB2312"/>
          <w:sz w:val="32"/>
          <w:szCs w:val="32"/>
        </w:rPr>
        <w:t>6-苄基腺嘌呤在豆芽中添加过量后，会导致儿童发育早熟，女性生理改变，老年人骨质疏松等，甚至有致癌可能</w:t>
      </w:r>
      <w:r>
        <w:rPr>
          <w:rFonts w:hint="eastAsia" w:ascii="仿宋_GB2312" w:hAnsi="仿宋" w:eastAsia="仿宋_GB2312"/>
          <w:sz w:val="32"/>
          <w:szCs w:val="32"/>
        </w:rPr>
        <w:t>。</w:t>
      </w:r>
    </w:p>
    <w:p>
      <w:pPr>
        <w:spacing w:line="560" w:lineRule="exact"/>
        <w:ind w:firstLine="642" w:firstLineChars="200"/>
        <w:rPr>
          <w:rFonts w:ascii="楷体_GB2312" w:hAnsi="楷体" w:eastAsia="楷体_GB2312" w:cs="仿宋_GB2312"/>
          <w:b/>
          <w:sz w:val="32"/>
          <w:szCs w:val="32"/>
        </w:rPr>
      </w:pPr>
      <w:r>
        <w:rPr>
          <w:rFonts w:hint="eastAsia" w:ascii="楷体_GB2312" w:hAnsi="楷体" w:eastAsia="楷体_GB2312" w:cs="仿宋_GB2312"/>
          <w:b/>
          <w:sz w:val="32"/>
          <w:szCs w:val="32"/>
          <w:lang w:eastAsia="zh-CN"/>
        </w:rPr>
        <w:t>（九）</w:t>
      </w:r>
      <w:r>
        <w:rPr>
          <w:rFonts w:hint="eastAsia" w:ascii="楷体_GB2312" w:hAnsi="楷体" w:eastAsia="楷体_GB2312" w:cs="仿宋_GB2312"/>
          <w:b/>
          <w:sz w:val="32"/>
          <w:szCs w:val="32"/>
        </w:rPr>
        <w:t>二氧化硫残留量</w:t>
      </w:r>
    </w:p>
    <w:p>
      <w:pPr>
        <w:spacing w:line="560" w:lineRule="exact"/>
        <w:ind w:firstLine="640" w:firstLineChars="200"/>
        <w:rPr>
          <w:rFonts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食品中的二氧化硫残留通常是指二氧化硫以及焦亚硫酸钠、焦亚硫酸钾、亚硫酸</w:t>
      </w:r>
      <w:r>
        <w:rPr>
          <w:rFonts w:hint="eastAsia" w:ascii="仿宋_GB2312" w:hAnsi="仿宋" w:eastAsia="仿宋_GB2312" w:cs="宋体"/>
          <w:kern w:val="0"/>
          <w:sz w:val="32"/>
          <w:szCs w:val="32"/>
        </w:rPr>
        <w:t>钠、亚</w:t>
      </w:r>
      <w:r>
        <w:rPr>
          <w:rFonts w:hint="eastAsia" w:ascii="仿宋_GB2312" w:hAnsi="仿宋" w:eastAsia="仿宋_GB2312" w:cs="宋体"/>
          <w:color w:val="000000"/>
          <w:kern w:val="0"/>
          <w:sz w:val="32"/>
          <w:szCs w:val="32"/>
        </w:rPr>
        <w:t>硫酸氢钠、低亚硫酸钠等无机亚硫酸盐残留的统称。</w:t>
      </w:r>
      <w:r>
        <w:rPr>
          <w:rFonts w:hint="eastAsia" w:ascii="仿宋_GB2312" w:hAnsi="仿宋" w:eastAsia="仿宋_GB2312"/>
          <w:spacing w:val="14"/>
          <w:sz w:val="32"/>
          <w:szCs w:val="32"/>
        </w:rPr>
        <w:t>《食品安全国家标准 食品添加剂使用标准》</w:t>
      </w:r>
      <w:r>
        <w:rPr>
          <w:rFonts w:hint="eastAsia" w:ascii="仿宋_GB2312" w:hAnsi="仿宋" w:eastAsia="仿宋_GB2312"/>
          <w:spacing w:val="-6"/>
          <w:sz w:val="32"/>
          <w:szCs w:val="32"/>
        </w:rPr>
        <w:t>（GB</w:t>
      </w:r>
      <w:r>
        <w:rPr>
          <w:rFonts w:hint="eastAsia" w:ascii="仿宋_GB2312" w:hAnsi="仿宋" w:eastAsia="仿宋_GB2312"/>
          <w:sz w:val="32"/>
          <w:szCs w:val="32"/>
        </w:rPr>
        <w:t xml:space="preserve"> 2760-2014）中规定</w:t>
      </w:r>
      <w:r>
        <w:rPr>
          <w:rFonts w:hint="eastAsia" w:ascii="仿宋_GB2312" w:hAnsi="仿宋"/>
          <w:sz w:val="32"/>
          <w:szCs w:val="32"/>
          <w:lang w:eastAsia="zh-CN"/>
        </w:rPr>
        <w:t>，干制</w:t>
      </w:r>
      <w:r>
        <w:rPr>
          <w:rFonts w:hint="eastAsia" w:ascii="仿宋_GB2312" w:hAnsi="仿宋" w:eastAsia="仿宋_GB2312"/>
          <w:sz w:val="32"/>
          <w:szCs w:val="32"/>
        </w:rPr>
        <w:t>蔬菜中二氧化硫残留量应≤0.</w:t>
      </w:r>
      <w:r>
        <w:rPr>
          <w:rFonts w:hint="eastAsia" w:ascii="仿宋_GB2312" w:hAnsi="仿宋"/>
          <w:sz w:val="32"/>
          <w:szCs w:val="32"/>
          <w:lang w:val="en-US" w:eastAsia="zh-CN"/>
        </w:rPr>
        <w:t>2</w:t>
      </w:r>
      <w:r>
        <w:rPr>
          <w:rFonts w:hint="eastAsia" w:ascii="仿宋_GB2312" w:hAnsi="仿宋" w:eastAsia="仿宋_GB2312"/>
          <w:sz w:val="32"/>
          <w:szCs w:val="32"/>
        </w:rPr>
        <w:t xml:space="preserve"> g/kg，干制蔬菜中二氧化硫残留量应≤0.2 g/kg。</w:t>
      </w:r>
      <w:r>
        <w:rPr>
          <w:rFonts w:hint="eastAsia" w:ascii="仿宋_GB2312" w:hAnsi="仿宋" w:eastAsia="仿宋_GB2312" w:cs="宋体"/>
          <w:color w:val="000000"/>
          <w:kern w:val="0"/>
          <w:sz w:val="32"/>
          <w:szCs w:val="32"/>
        </w:rPr>
        <w:t>人体摄入的少量二氧化硫和亚硫酸盐会迅速以硫酸盐形式排出体外, 因此二氧化硫和亚硫酸盐的系统性毒性低，在一般食用情况下，不会对人体健康造成不良影响。但对二氧化硫有过敏反应的人（如哮喘病患者等），则可能出现气喘、头痛或恶心等过敏症状。若长期大量摄入二氧化硫残留超标的食</w:t>
      </w:r>
      <w:r>
        <w:rPr>
          <w:rFonts w:hint="eastAsia" w:ascii="仿宋_GB2312" w:hAnsi="仿宋" w:eastAsia="仿宋_GB2312" w:cs="宋体"/>
          <w:b w:val="0"/>
          <w:bCs w:val="0"/>
          <w:color w:val="000000"/>
          <w:kern w:val="0"/>
          <w:sz w:val="32"/>
          <w:szCs w:val="32"/>
        </w:rPr>
        <w:t>品，则可能对人体健康造成危害，其毒性表现为胃肠道反应，如</w:t>
      </w:r>
      <w:r>
        <w:rPr>
          <w:rFonts w:hint="eastAsia" w:ascii="仿宋_GB2312" w:hAnsi="仿宋" w:eastAsia="仿宋_GB2312" w:cs="宋体"/>
          <w:color w:val="000000"/>
          <w:kern w:val="0"/>
          <w:sz w:val="32"/>
          <w:szCs w:val="32"/>
        </w:rPr>
        <w:t>恶心、呕吐等。此外，还会影响钙吸收，使机体钙丢失。</w:t>
      </w:r>
    </w:p>
    <w:p>
      <w:pPr>
        <w:widowControl/>
        <w:jc w:val="left"/>
        <w:rPr>
          <w:rFonts w:ascii="楷体_GB2312" w:hAnsi="宋体" w:eastAsia="楷体_GB2312" w:cs="宋体"/>
          <w:b/>
          <w:kern w:val="0"/>
          <w:sz w:val="32"/>
          <w:szCs w:val="32"/>
        </w:rPr>
      </w:pPr>
      <w:r>
        <w:rPr>
          <w:rFonts w:hint="eastAsia" w:ascii="楷体_GB2312" w:hAnsi="宋体" w:eastAsia="楷体_GB2312" w:cs="宋体"/>
          <w:b/>
          <w:kern w:val="0"/>
          <w:sz w:val="32"/>
          <w:szCs w:val="32"/>
          <w:lang w:eastAsia="zh-CN"/>
        </w:rPr>
        <w:t>（十）</w:t>
      </w:r>
      <w:r>
        <w:rPr>
          <w:rFonts w:ascii="楷体_GB2312" w:hAnsi="宋体" w:eastAsia="楷体_GB2312" w:cs="宋体"/>
          <w:b/>
          <w:kern w:val="0"/>
          <w:sz w:val="32"/>
          <w:szCs w:val="32"/>
        </w:rPr>
        <w:t>孔雀石绿</w:t>
      </w:r>
    </w:p>
    <w:p>
      <w:pPr>
        <w:spacing w:line="560" w:lineRule="exact"/>
        <w:ind w:firstLine="640" w:firstLineChars="200"/>
        <w:rPr>
          <w:rFonts w:hint="eastAsia" w:ascii="仿宋_GB2312" w:hAnsi="仿宋" w:eastAsia="仿宋_GB2312" w:cs="宋体"/>
          <w:b w:val="0"/>
          <w:bCs w:val="0"/>
          <w:color w:val="000000"/>
          <w:kern w:val="0"/>
          <w:sz w:val="32"/>
          <w:szCs w:val="32"/>
        </w:rPr>
      </w:pPr>
      <w:r>
        <w:rPr>
          <w:rFonts w:hint="eastAsia" w:ascii="仿宋_GB2312" w:hAnsi="仿宋" w:eastAsia="仿宋_GB2312" w:cs="宋体"/>
          <w:b w:val="0"/>
          <w:bCs w:val="0"/>
          <w:color w:val="000000"/>
          <w:kern w:val="0"/>
          <w:sz w:val="32"/>
          <w:szCs w:val="32"/>
        </w:rPr>
        <w:t>孔雀石绿属于三苯甲烷类化学物，既是染料，也是杀真菌、杀细菌、杀寄生虫的药物。《中华人民共和国农业农村部公共 第250号》中规定，该类药物为禁用兽药，在动物性食品中不得检出。长期食用检出孔雀石绿的食品可能会危害人体健康。</w:t>
      </w:r>
    </w:p>
    <w:p>
      <w:pPr>
        <w:spacing w:line="560" w:lineRule="exact"/>
        <w:ind w:firstLine="481" w:firstLineChars="150"/>
        <w:rPr>
          <w:rFonts w:ascii="楷体_GB2312" w:hAnsi="楷体" w:eastAsia="楷体_GB2312"/>
          <w:b/>
          <w:color w:val="000000" w:themeColor="text1"/>
          <w:sz w:val="32"/>
          <w:szCs w:val="32"/>
          <w14:textFill>
            <w14:solidFill>
              <w14:schemeClr w14:val="tx1"/>
            </w14:solidFill>
          </w14:textFill>
        </w:rPr>
      </w:pP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color w:val="000000" w:themeColor="text1"/>
          <w:sz w:val="32"/>
          <w:szCs w:val="32"/>
          <w:lang w:eastAsia="zh-CN"/>
          <w14:textFill>
            <w14:solidFill>
              <w14:schemeClr w14:val="tx1"/>
            </w14:solidFill>
          </w14:textFill>
        </w:rPr>
        <w:t>十</w:t>
      </w:r>
      <w:r>
        <w:rPr>
          <w:rFonts w:hint="eastAsia" w:ascii="楷体_GB2312" w:hAnsi="楷体" w:eastAsia="楷体_GB2312" w:cs="仿宋_GB2312"/>
          <w:b/>
          <w:color w:val="000000" w:themeColor="text1"/>
          <w:sz w:val="32"/>
          <w:szCs w:val="32"/>
          <w14:textFill>
            <w14:solidFill>
              <w14:schemeClr w14:val="tx1"/>
            </w14:solidFill>
          </w14:textFill>
        </w:rPr>
        <w:t>一）</w:t>
      </w:r>
      <w:r>
        <w:rPr>
          <w:rFonts w:hint="eastAsia" w:ascii="楷体_GB2312" w:hAnsi="楷体" w:eastAsia="楷体_GB2312"/>
          <w:b/>
          <w:color w:val="000000" w:themeColor="text1"/>
          <w:sz w:val="32"/>
          <w:szCs w:val="32"/>
          <w14:textFill>
            <w14:solidFill>
              <w14:schemeClr w14:val="tx1"/>
            </w14:solidFill>
          </w14:textFill>
        </w:rPr>
        <w:t>菌落总数</w:t>
      </w:r>
    </w:p>
    <w:p>
      <w:pPr>
        <w:spacing w:line="560" w:lineRule="exact"/>
        <w:ind w:firstLine="640" w:firstLineChars="200"/>
        <w:rPr>
          <w:rFonts w:ascii="仿宋_GB2312" w:hAnsi="楷体" w:eastAsia="仿宋_GB2312" w:cs="Arial"/>
          <w:b/>
          <w:color w:val="000000" w:themeColor="text1"/>
          <w:sz w:val="32"/>
          <w:szCs w:val="32"/>
          <w:shd w:val="clear" w:color="auto" w:fill="FFFFFF"/>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cs="宋体"/>
          <w:sz w:val="32"/>
          <w:szCs w:val="32"/>
        </w:rPr>
        <w:t>《鸡精调味料》（SB/T 10371-</w:t>
      </w:r>
      <w:r>
        <w:rPr>
          <w:rFonts w:hint="eastAsia" w:ascii="仿宋_GB2312" w:hAnsi="仿宋" w:eastAsia="仿宋_GB2312" w:cs="宋体"/>
          <w:color w:val="auto"/>
          <w:sz w:val="32"/>
          <w:szCs w:val="32"/>
        </w:rPr>
        <w:t>2003）中规定，鸡精调味料中</w:t>
      </w:r>
      <w:r>
        <w:rPr>
          <w:rFonts w:hint="eastAsia" w:ascii="仿宋_GB2312" w:hAnsi="仿宋" w:cs="宋体"/>
          <w:color w:val="auto"/>
          <w:sz w:val="32"/>
          <w:szCs w:val="32"/>
          <w:lang w:eastAsia="zh-CN"/>
        </w:rPr>
        <w:t>菌落总数</w:t>
      </w:r>
      <w:r>
        <w:rPr>
          <w:rFonts w:hint="eastAsia" w:ascii="仿宋_GB2312" w:hAnsi="仿宋" w:eastAsia="仿宋_GB2312" w:cs="宋体"/>
          <w:color w:val="auto"/>
          <w:sz w:val="32"/>
          <w:szCs w:val="32"/>
        </w:rPr>
        <w:t>应</w:t>
      </w:r>
      <w:r>
        <w:rPr>
          <w:rFonts w:hint="eastAsia" w:ascii="仿宋_GB2312" w:hAnsi="仿宋" w:eastAsia="仿宋_GB2312"/>
          <w:color w:val="auto"/>
          <w:sz w:val="32"/>
          <w:szCs w:val="32"/>
        </w:rPr>
        <w:t>≤</w:t>
      </w:r>
      <w:r>
        <w:rPr>
          <w:rFonts w:hint="eastAsia" w:ascii="仿宋_GB2312" w:hAnsi="仿宋" w:cs="宋体"/>
          <w:color w:val="auto"/>
          <w:sz w:val="32"/>
          <w:szCs w:val="32"/>
          <w:lang w:val="en-US" w:eastAsia="zh-CN"/>
        </w:rPr>
        <w:t>10000 cfu/</w:t>
      </w:r>
      <w:r>
        <w:rPr>
          <w:rFonts w:hint="eastAsia" w:ascii="仿宋_GB2312" w:hAnsi="仿宋" w:eastAsia="仿宋_GB2312" w:cs="宋体"/>
          <w:color w:val="auto"/>
          <w:sz w:val="32"/>
          <w:szCs w:val="32"/>
        </w:rPr>
        <w:t>g。</w:t>
      </w:r>
      <w:r>
        <w:rPr>
          <w:rFonts w:hint="eastAsia" w:ascii="仿宋_GB2312" w:hAnsi="仿宋" w:eastAsia="仿宋_GB2312"/>
          <w:color w:val="auto"/>
          <w:sz w:val="32"/>
          <w:szCs w:val="32"/>
        </w:rPr>
        <w:t>食品的菌落总数超标，说明其产品的卫生状况达不到基本的卫</w:t>
      </w:r>
      <w:r>
        <w:rPr>
          <w:rFonts w:hint="eastAsia" w:ascii="仿宋_GB2312" w:hAnsi="仿宋" w:eastAsia="仿宋_GB2312"/>
          <w:sz w:val="32"/>
          <w:szCs w:val="32"/>
        </w:rPr>
        <w:t>生要求，将会破坏食品的营养成分，加速食品的腐败变质，使食品失去食用价值。消费者食用菌落总数</w:t>
      </w:r>
      <w:r>
        <w:rPr>
          <w:rFonts w:hint="eastAsia" w:ascii="仿宋_GB2312" w:hAnsi="仿宋" w:eastAsia="仿宋_GB2312"/>
          <w:color w:val="000000" w:themeColor="text1"/>
          <w:sz w:val="32"/>
          <w:szCs w:val="32"/>
          <w14:textFill>
            <w14:solidFill>
              <w14:schemeClr w14:val="tx1"/>
            </w14:solidFill>
          </w14:textFill>
        </w:rPr>
        <w:t>超标严重的食品，容易患痢疾等肠道疾病，会引起呕吐、腹泻等症状。</w:t>
      </w:r>
    </w:p>
    <w:p>
      <w:pPr>
        <w:keepNext w:val="0"/>
        <w:keepLines w:val="0"/>
        <w:pageBreakBefore w:val="0"/>
        <w:widowControl/>
        <w:kinsoku/>
        <w:wordWrap/>
        <w:overflowPunct/>
        <w:topLinePunct w:val="0"/>
        <w:autoSpaceDE/>
        <w:autoSpaceDN/>
        <w:bidi w:val="0"/>
        <w:adjustRightInd/>
        <w:snapToGrid/>
        <w:spacing w:line="560" w:lineRule="exact"/>
        <w:ind w:firstLine="629" w:firstLineChars="196"/>
        <w:jc w:val="left"/>
        <w:textAlignment w:val="auto"/>
        <w:rPr>
          <w:rFonts w:ascii="楷体_GB2312" w:hAnsi="宋体" w:eastAsia="楷体_GB2312" w:cs="宋体"/>
          <w:b/>
          <w:color w:val="auto"/>
          <w:kern w:val="0"/>
          <w:sz w:val="32"/>
          <w:szCs w:val="32"/>
          <w:highlight w:val="none"/>
        </w:rPr>
      </w:pPr>
      <w:r>
        <w:rPr>
          <w:rFonts w:hint="eastAsia" w:ascii="楷体_GB2312" w:hAnsi="宋体" w:eastAsia="楷体_GB2312" w:cs="宋体"/>
          <w:b/>
          <w:color w:val="auto"/>
          <w:kern w:val="0"/>
          <w:sz w:val="32"/>
          <w:szCs w:val="32"/>
          <w:highlight w:val="none"/>
        </w:rPr>
        <w:t>（</w:t>
      </w:r>
      <w:r>
        <w:rPr>
          <w:rFonts w:hint="eastAsia" w:ascii="楷体_GB2312" w:hAnsi="宋体" w:eastAsia="楷体_GB2312" w:cs="宋体"/>
          <w:b/>
          <w:color w:val="auto"/>
          <w:kern w:val="0"/>
          <w:sz w:val="32"/>
          <w:szCs w:val="32"/>
          <w:highlight w:val="none"/>
          <w:lang w:val="en-US" w:eastAsia="zh-CN"/>
        </w:rPr>
        <w:t>十二</w:t>
      </w:r>
      <w:r>
        <w:rPr>
          <w:rFonts w:hint="eastAsia" w:ascii="楷体_GB2312" w:hAnsi="宋体" w:eastAsia="楷体_GB2312" w:cs="宋体"/>
          <w:b/>
          <w:color w:val="auto"/>
          <w:kern w:val="0"/>
          <w:sz w:val="32"/>
          <w:szCs w:val="32"/>
          <w:highlight w:val="none"/>
        </w:rPr>
        <w:t>）</w:t>
      </w:r>
      <w:r>
        <w:rPr>
          <w:rFonts w:ascii="楷体_GB2312" w:hAnsi="宋体" w:eastAsia="楷体_GB2312" w:cs="宋体"/>
          <w:b/>
          <w:color w:val="auto"/>
          <w:kern w:val="0"/>
          <w:sz w:val="32"/>
          <w:szCs w:val="32"/>
          <w:highlight w:val="none"/>
        </w:rPr>
        <w:t>糖精钠　　</w:t>
      </w:r>
    </w:p>
    <w:p>
      <w:pPr>
        <w:spacing w:line="560" w:lineRule="exact"/>
        <w:ind w:firstLine="640" w:firstLineChars="20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糖精钠的甜度约为蔗糖的450～550倍，故其十万分之一的水溶液即有甜味感，浓度高了以后还会出现苦味。《食品安全国家标准 食品添加剂使用标准》（GB 2760-2014）中规定，餐饮成品的饮料（自制）不得使用糖精钠。糖精钠是有机化工合成产品，除了在味觉上引起甜的感觉外，对人体无任何营养价值。相反，当人体食用较多的糖精钠时，会影响肠胃消化酶的正常分泌，降低小肠的吸收能力，使食欲减退。</w:t>
      </w:r>
    </w:p>
    <w:p>
      <w:pPr>
        <w:spacing w:line="560" w:lineRule="exact"/>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（十</w:t>
      </w:r>
      <w:r>
        <w:rPr>
          <w:rFonts w:hint="eastAsia" w:ascii="楷体_GB2312" w:hAnsi="楷体" w:eastAsia="楷体_GB2312" w:cs="Arial"/>
          <w:b/>
          <w:sz w:val="32"/>
          <w:szCs w:val="32"/>
          <w:shd w:val="clear" w:color="auto" w:fill="FFFFFF"/>
          <w:lang w:eastAsia="zh-CN"/>
        </w:rPr>
        <w:t>三</w:t>
      </w:r>
      <w:r>
        <w:rPr>
          <w:rFonts w:hint="eastAsia" w:ascii="楷体_GB2312" w:hAnsi="楷体" w:eastAsia="楷体_GB2312" w:cs="Arial"/>
          <w:b/>
          <w:sz w:val="32"/>
          <w:szCs w:val="32"/>
          <w:shd w:val="clear" w:color="auto" w:fill="FFFFFF"/>
        </w:rPr>
        <w:t>）氯氟氰菊酯和高效氯氟氰菊酯</w:t>
      </w:r>
    </w:p>
    <w:p>
      <w:pPr>
        <w:spacing w:line="560" w:lineRule="exact"/>
        <w:ind w:firstLine="640" w:firstLineChars="200"/>
        <w:rPr>
          <w:rFonts w:ascii="仿宋_GB2312" w:hAnsi="仿宋" w:eastAsia="仿宋_GB2312"/>
          <w:sz w:val="32"/>
          <w:szCs w:val="32"/>
        </w:rPr>
      </w:pPr>
      <w:r>
        <w:rPr>
          <w:rFonts w:hint="eastAsia" w:ascii="仿宋_GB2312" w:hAnsi="仿宋" w:eastAsia="仿宋_GB2312" w:cs="仿宋"/>
          <w:bCs/>
          <w:sz w:val="32"/>
          <w:szCs w:val="32"/>
          <w:shd w:val="clear" w:color="auto" w:fill="FFFFFF"/>
        </w:rPr>
        <w:t>氯氟氰菊酯和高效氯氟氰菊酯</w:t>
      </w:r>
      <w:r>
        <w:rPr>
          <w:rFonts w:hint="eastAsia" w:ascii="仿宋_GB2312" w:hAnsi="仿宋" w:eastAsia="仿宋_GB2312" w:cs="仿宋"/>
          <w:bCs/>
          <w:sz w:val="32"/>
          <w:szCs w:val="32"/>
        </w:rPr>
        <w:t>是一种具有触杀和胃毒作用的拟除虫菊酯类农药。《食品安全国家标准 食品中农药最大残留限量》（GB 2763-2019）中规定，瓜类蔬菜中</w:t>
      </w:r>
      <w:r>
        <w:rPr>
          <w:rFonts w:hint="eastAsia" w:ascii="仿宋_GB2312" w:hAnsi="仿宋" w:eastAsia="仿宋_GB2312" w:cs="仿宋"/>
          <w:bCs/>
          <w:sz w:val="32"/>
          <w:szCs w:val="32"/>
          <w:shd w:val="clear" w:color="auto" w:fill="FFFFFF"/>
        </w:rPr>
        <w:t>氯氟氰菊酯和高效氯氟氰菊酯</w:t>
      </w:r>
      <w:r>
        <w:rPr>
          <w:rFonts w:hint="eastAsia" w:ascii="仿宋_GB2312" w:hAnsi="仿宋" w:eastAsia="仿宋_GB2312"/>
          <w:sz w:val="32"/>
          <w:szCs w:val="32"/>
        </w:rPr>
        <w:t>残留限量值应≤0.05mg/kg</w:t>
      </w:r>
      <w:r>
        <w:rPr>
          <w:rFonts w:hint="eastAsia" w:ascii="仿宋_GB2312" w:hAnsi="仿宋" w:eastAsia="仿宋_GB2312"/>
          <w:color w:val="0000FF"/>
          <w:sz w:val="32"/>
          <w:szCs w:val="32"/>
        </w:rPr>
        <w:t>。</w:t>
      </w:r>
      <w:r>
        <w:rPr>
          <w:rFonts w:hint="eastAsia" w:ascii="仿宋_GB2312" w:hAnsi="仿宋" w:eastAsia="仿宋_GB2312" w:cs="仿宋"/>
          <w:bCs/>
          <w:sz w:val="32"/>
          <w:szCs w:val="32"/>
          <w:shd w:val="clear" w:color="auto" w:fill="FFFFFF"/>
        </w:rPr>
        <w:t>氯氟氰菊酯和高效氯氟氰菊酯</w:t>
      </w:r>
      <w:r>
        <w:rPr>
          <w:rFonts w:hint="eastAsia" w:ascii="仿宋_GB2312" w:hAnsi="仿宋" w:eastAsia="仿宋_GB2312"/>
          <w:sz w:val="32"/>
          <w:szCs w:val="32"/>
        </w:rPr>
        <w:t>对皮肤有刺激作用，接触量大时会引起头痛、头昏、恶心、呕吐、双手颤抖等症状。</w:t>
      </w:r>
    </w:p>
    <w:p>
      <w:pPr>
        <w:spacing w:line="560" w:lineRule="exact"/>
        <w:ind w:firstLine="642" w:firstLineChars="200"/>
        <w:rPr>
          <w:rFonts w:ascii="楷体_GB2312" w:hAnsi="楷体" w:eastAsia="楷体_GB2312" w:cs="仿宋_GB2312"/>
          <w:b/>
          <w:sz w:val="32"/>
          <w:szCs w:val="32"/>
        </w:rPr>
      </w:pPr>
      <w:r>
        <w:rPr>
          <w:rFonts w:hint="eastAsia" w:ascii="楷体_GB2312" w:hAnsi="楷体" w:eastAsia="楷体_GB2312" w:cs="仿宋_GB2312"/>
          <w:b/>
          <w:sz w:val="32"/>
          <w:szCs w:val="32"/>
        </w:rPr>
        <w:t>(</w:t>
      </w:r>
      <w:r>
        <w:rPr>
          <w:rFonts w:hint="eastAsia" w:ascii="楷体_GB2312" w:hAnsi="楷体" w:eastAsia="楷体_GB2312" w:cs="仿宋_GB2312"/>
          <w:b/>
          <w:sz w:val="32"/>
          <w:szCs w:val="32"/>
          <w:lang w:eastAsia="zh-CN"/>
        </w:rPr>
        <w:t>十四</w:t>
      </w:r>
      <w:r>
        <w:rPr>
          <w:rFonts w:hint="eastAsia" w:ascii="楷体_GB2312" w:hAnsi="楷体" w:eastAsia="楷体_GB2312" w:cs="仿宋_GB2312"/>
          <w:b/>
          <w:sz w:val="32"/>
          <w:szCs w:val="32"/>
        </w:rPr>
        <w:t>)标签</w:t>
      </w:r>
    </w:p>
    <w:p>
      <w:pPr>
        <w:spacing w:line="560" w:lineRule="exact"/>
        <w:ind w:firstLine="640" w:firstLineChars="200"/>
        <w:outlineLvl w:val="0"/>
        <w:rPr>
          <w:rFonts w:ascii="仿宋_GB2312" w:hAnsi="仿宋" w:eastAsia="仿宋_GB2312"/>
          <w:sz w:val="32"/>
          <w:szCs w:val="32"/>
        </w:rPr>
      </w:pPr>
      <w:r>
        <w:rPr>
          <w:rFonts w:ascii="仿宋_GB2312" w:hAnsi="仿宋" w:eastAsia="仿宋_GB2312"/>
          <w:sz w:val="32"/>
          <w:szCs w:val="32"/>
        </w:rPr>
        <w:t>食品标签是指</w:t>
      </w:r>
      <w:r>
        <w:rPr>
          <w:rFonts w:hint="eastAsia" w:ascii="仿宋_GB2312" w:hAnsi="仿宋" w:eastAsia="仿宋_GB2312"/>
          <w:sz w:val="32"/>
          <w:szCs w:val="32"/>
        </w:rPr>
        <w:t>食品包装</w:t>
      </w:r>
      <w:r>
        <w:rPr>
          <w:rFonts w:ascii="仿宋_GB2312" w:hAnsi="仿宋" w:eastAsia="仿宋_GB2312"/>
          <w:sz w:val="32"/>
          <w:szCs w:val="32"/>
        </w:rPr>
        <w:t>上的文字</w:t>
      </w:r>
      <w:r>
        <w:rPr>
          <w:rFonts w:hint="eastAsia" w:ascii="仿宋_GB2312" w:hAnsi="仿宋" w:eastAsia="仿宋_GB2312"/>
          <w:sz w:val="32"/>
          <w:szCs w:val="32"/>
        </w:rPr>
        <w:t>、</w:t>
      </w:r>
      <w:r>
        <w:rPr>
          <w:rFonts w:ascii="仿宋_GB2312" w:hAnsi="仿宋" w:eastAsia="仿宋_GB2312"/>
          <w:sz w:val="32"/>
          <w:szCs w:val="32"/>
        </w:rPr>
        <w:t>图形</w:t>
      </w:r>
      <w:r>
        <w:rPr>
          <w:rFonts w:hint="eastAsia" w:ascii="仿宋_GB2312" w:hAnsi="仿宋" w:eastAsia="仿宋_GB2312"/>
          <w:sz w:val="32"/>
          <w:szCs w:val="32"/>
        </w:rPr>
        <w:t>、</w:t>
      </w:r>
      <w:r>
        <w:rPr>
          <w:rFonts w:ascii="仿宋_GB2312" w:hAnsi="仿宋" w:eastAsia="仿宋_GB2312"/>
          <w:sz w:val="32"/>
          <w:szCs w:val="32"/>
        </w:rPr>
        <w:t>符号及一切说明物</w:t>
      </w:r>
      <w:r>
        <w:rPr>
          <w:rFonts w:hint="eastAsia" w:ascii="仿宋_GB2312" w:hAnsi="仿宋" w:eastAsia="仿宋_GB2312"/>
          <w:sz w:val="32"/>
          <w:szCs w:val="32"/>
        </w:rPr>
        <w:t>。</w:t>
      </w:r>
      <w:r>
        <w:rPr>
          <w:rFonts w:ascii="仿宋_GB2312" w:hAnsi="仿宋" w:eastAsia="仿宋_GB2312"/>
          <w:color w:val="auto"/>
          <w:sz w:val="32"/>
          <w:szCs w:val="32"/>
        </w:rPr>
        <w:t>食品标签</w:t>
      </w:r>
      <w:r>
        <w:rPr>
          <w:rFonts w:ascii="仿宋_GB2312" w:hAnsi="仿宋" w:eastAsia="仿宋_GB2312"/>
          <w:sz w:val="32"/>
          <w:szCs w:val="32"/>
        </w:rPr>
        <w:t>的所有内容</w:t>
      </w:r>
      <w:r>
        <w:rPr>
          <w:rFonts w:hint="eastAsia" w:ascii="仿宋_GB2312" w:hAnsi="仿宋" w:eastAsia="仿宋_GB2312"/>
          <w:sz w:val="32"/>
          <w:szCs w:val="32"/>
        </w:rPr>
        <w:t>应符合法律、法规的规定</w:t>
      </w:r>
      <w:r>
        <w:rPr>
          <w:rFonts w:ascii="仿宋_GB2312" w:hAnsi="仿宋" w:eastAsia="仿宋_GB2312"/>
          <w:sz w:val="32"/>
          <w:szCs w:val="32"/>
        </w:rPr>
        <w:t>，</w:t>
      </w:r>
      <w:r>
        <w:rPr>
          <w:rFonts w:hint="eastAsia" w:ascii="仿宋_GB2312" w:hAnsi="仿宋" w:eastAsia="仿宋_GB2312"/>
          <w:sz w:val="32"/>
          <w:szCs w:val="32"/>
        </w:rPr>
        <w:t>并符合相应食品安全标准的规定；</w:t>
      </w:r>
      <w:r>
        <w:rPr>
          <w:rFonts w:ascii="仿宋_GB2312" w:hAnsi="仿宋" w:eastAsia="仿宋_GB2312"/>
          <w:sz w:val="32"/>
          <w:szCs w:val="32"/>
        </w:rPr>
        <w:t>必须通俗易懂、</w:t>
      </w:r>
      <w:r>
        <w:rPr>
          <w:rFonts w:hint="eastAsia" w:ascii="仿宋_GB2312" w:hAnsi="仿宋" w:eastAsia="仿宋_GB2312"/>
          <w:sz w:val="32"/>
          <w:szCs w:val="32"/>
        </w:rPr>
        <w:t>真实</w:t>
      </w:r>
      <w:r>
        <w:rPr>
          <w:rFonts w:ascii="仿宋_GB2312" w:hAnsi="仿宋" w:eastAsia="仿宋_GB2312"/>
          <w:sz w:val="32"/>
          <w:szCs w:val="32"/>
        </w:rPr>
        <w:t>准确、科学</w:t>
      </w:r>
      <w:r>
        <w:rPr>
          <w:rFonts w:hint="eastAsia" w:ascii="仿宋_GB2312" w:hAnsi="仿宋" w:eastAsia="仿宋_GB2312"/>
          <w:sz w:val="32"/>
          <w:szCs w:val="32"/>
        </w:rPr>
        <w:t>合理。</w:t>
      </w:r>
      <w:r>
        <w:rPr>
          <w:rFonts w:ascii="仿宋_GB2312" w:hAnsi="仿宋" w:eastAsia="仿宋_GB2312"/>
          <w:sz w:val="32"/>
          <w:szCs w:val="32"/>
        </w:rPr>
        <w:t>不</w:t>
      </w:r>
      <w:r>
        <w:rPr>
          <w:rFonts w:hint="eastAsia" w:ascii="仿宋_GB2312" w:hAnsi="仿宋" w:eastAsia="仿宋_GB2312"/>
          <w:sz w:val="32"/>
          <w:szCs w:val="32"/>
        </w:rPr>
        <w:t>应</w:t>
      </w:r>
      <w:r>
        <w:rPr>
          <w:rFonts w:ascii="仿宋_GB2312" w:hAnsi="仿宋" w:eastAsia="仿宋_GB2312"/>
          <w:sz w:val="32"/>
          <w:szCs w:val="32"/>
        </w:rPr>
        <w:t>以直接或</w:t>
      </w:r>
      <w:r>
        <w:rPr>
          <w:rFonts w:hint="eastAsia" w:ascii="仿宋_GB2312" w:hAnsi="仿宋" w:eastAsia="仿宋_GB2312"/>
          <w:sz w:val="32"/>
          <w:szCs w:val="32"/>
        </w:rPr>
        <w:t>以</w:t>
      </w:r>
      <w:r>
        <w:rPr>
          <w:rFonts w:ascii="仿宋_GB2312" w:hAnsi="仿宋" w:eastAsia="仿宋_GB2312"/>
          <w:sz w:val="32"/>
          <w:szCs w:val="32"/>
        </w:rPr>
        <w:t>暗示性的语言、图形、符号</w:t>
      </w:r>
      <w:r>
        <w:rPr>
          <w:rFonts w:hint="eastAsia" w:ascii="仿宋_GB2312" w:hAnsi="仿宋" w:eastAsia="仿宋_GB2312"/>
          <w:sz w:val="32"/>
          <w:szCs w:val="32"/>
        </w:rPr>
        <w:t>，</w:t>
      </w:r>
      <w:r>
        <w:rPr>
          <w:rFonts w:ascii="仿宋_GB2312" w:hAnsi="仿宋" w:eastAsia="仿宋_GB2312"/>
          <w:sz w:val="32"/>
          <w:szCs w:val="32"/>
        </w:rPr>
        <w:t>导致消费者将</w:t>
      </w:r>
      <w:r>
        <w:rPr>
          <w:rFonts w:hint="eastAsia" w:ascii="仿宋_GB2312" w:hAnsi="仿宋" w:eastAsia="仿宋_GB2312"/>
          <w:sz w:val="32"/>
          <w:szCs w:val="32"/>
        </w:rPr>
        <w:t>购买的</w:t>
      </w:r>
      <w:r>
        <w:rPr>
          <w:rFonts w:ascii="仿宋_GB2312" w:hAnsi="仿宋" w:eastAsia="仿宋_GB2312"/>
          <w:sz w:val="32"/>
          <w:szCs w:val="32"/>
        </w:rPr>
        <w:t>食品或食品的某一性质与另一食品混淆。也不</w:t>
      </w:r>
      <w:r>
        <w:rPr>
          <w:rFonts w:hint="eastAsia" w:ascii="仿宋_GB2312" w:hAnsi="仿宋" w:eastAsia="仿宋_GB2312"/>
          <w:sz w:val="32"/>
          <w:szCs w:val="32"/>
        </w:rPr>
        <w:t>应</w:t>
      </w:r>
      <w:r>
        <w:rPr>
          <w:rFonts w:ascii="仿宋_GB2312" w:hAnsi="仿宋" w:eastAsia="仿宋_GB2312"/>
          <w:sz w:val="32"/>
          <w:szCs w:val="32"/>
        </w:rPr>
        <w:t>以</w:t>
      </w:r>
      <w:r>
        <w:rPr>
          <w:rFonts w:hint="eastAsia" w:ascii="仿宋_GB2312" w:hAnsi="仿宋" w:eastAsia="仿宋_GB2312"/>
          <w:sz w:val="32"/>
          <w:szCs w:val="32"/>
        </w:rPr>
        <w:t>虚假夸大</w:t>
      </w:r>
      <w:r>
        <w:rPr>
          <w:rFonts w:ascii="仿宋_GB2312" w:hAnsi="仿宋" w:eastAsia="仿宋_GB2312"/>
          <w:sz w:val="32"/>
          <w:szCs w:val="32"/>
        </w:rPr>
        <w:t>的、引起误解的或欺骗性的方式描述或介绍食品</w:t>
      </w:r>
      <w:r>
        <w:rPr>
          <w:rFonts w:hint="eastAsia" w:ascii="仿宋_GB2312" w:hAnsi="仿宋" w:eastAsia="仿宋_GB2312"/>
          <w:sz w:val="32"/>
          <w:szCs w:val="32"/>
        </w:rPr>
        <w:t>。</w:t>
      </w:r>
    </w:p>
    <w:p>
      <w:pPr>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 w:eastAsia="仿宋_GB2312"/>
          <w:sz w:val="32"/>
          <w:szCs w:val="32"/>
        </w:rPr>
      </w:pPr>
      <w:r>
        <w:rPr>
          <w:rFonts w:hint="eastAsia" w:ascii="仿宋_GB2312" w:hAnsi="仿宋" w:eastAsia="仿宋_GB2312"/>
          <w:sz w:val="32"/>
          <w:szCs w:val="32"/>
        </w:rPr>
        <w:t>本次抽检</w:t>
      </w:r>
      <w:r>
        <w:rPr>
          <w:rFonts w:ascii="仿宋_GB2312" w:hAnsi="仿宋" w:eastAsia="仿宋_GB2312"/>
          <w:sz w:val="32"/>
          <w:szCs w:val="32"/>
        </w:rPr>
        <w:t>发现</w:t>
      </w:r>
      <w:r>
        <w:rPr>
          <w:rFonts w:hint="eastAsia" w:ascii="仿宋_GB2312" w:hAnsi="仿宋" w:eastAsia="仿宋_GB2312"/>
          <w:color w:val="auto"/>
          <w:sz w:val="32"/>
          <w:szCs w:val="32"/>
        </w:rPr>
        <w:t>样品标签不符合《食品安全国家标准</w:t>
      </w:r>
      <w:r>
        <w:rPr>
          <w:rFonts w:hint="eastAsia" w:ascii="仿宋_GB2312" w:hAnsi="仿宋"/>
          <w:color w:val="auto"/>
          <w:sz w:val="32"/>
          <w:szCs w:val="32"/>
          <w:lang w:val="en-US" w:eastAsia="zh-CN"/>
        </w:rPr>
        <w:t xml:space="preserve"> </w:t>
      </w:r>
      <w:r>
        <w:rPr>
          <w:rFonts w:hint="eastAsia" w:ascii="仿宋_GB2312" w:hAnsi="仿宋" w:eastAsia="仿宋_GB2312"/>
          <w:color w:val="auto"/>
          <w:sz w:val="32"/>
          <w:szCs w:val="32"/>
        </w:rPr>
        <w:t>预包装食品标签通则》（</w:t>
      </w:r>
      <w:r>
        <w:rPr>
          <w:rFonts w:ascii="仿宋_GB2312" w:hAnsi="仿宋" w:eastAsia="仿宋_GB2312"/>
          <w:color w:val="auto"/>
          <w:sz w:val="32"/>
          <w:szCs w:val="32"/>
        </w:rPr>
        <w:t>GB</w:t>
      </w:r>
      <w:r>
        <w:rPr>
          <w:rFonts w:hint="eastAsia" w:ascii="仿宋_GB2312" w:hAnsi="仿宋" w:eastAsia="仿宋_GB2312"/>
          <w:color w:val="auto"/>
          <w:sz w:val="32"/>
          <w:szCs w:val="32"/>
        </w:rPr>
        <w:t xml:space="preserve"> 7718</w:t>
      </w:r>
      <w:r>
        <w:rPr>
          <w:rFonts w:ascii="仿宋_GB2312" w:hAnsi="仿宋" w:eastAsia="仿宋_GB2312"/>
          <w:color w:val="auto"/>
          <w:sz w:val="32"/>
          <w:szCs w:val="32"/>
        </w:rPr>
        <w:t>-2011</w:t>
      </w:r>
      <w:r>
        <w:rPr>
          <w:rFonts w:hint="eastAsia" w:ascii="仿宋_GB2312" w:hAnsi="仿宋" w:eastAsia="仿宋_GB2312"/>
          <w:color w:val="auto"/>
          <w:sz w:val="32"/>
          <w:szCs w:val="32"/>
        </w:rPr>
        <w:t>）</w:t>
      </w:r>
      <w:r>
        <w:rPr>
          <w:rFonts w:hint="eastAsia" w:ascii="仿宋_GB2312" w:hAnsi="仿宋" w:eastAsia="仿宋_GB2312"/>
          <w:color w:val="auto"/>
          <w:sz w:val="32"/>
          <w:szCs w:val="32"/>
          <w:lang w:eastAsia="zh-CN"/>
        </w:rPr>
        <w:t>和</w:t>
      </w:r>
      <w:r>
        <w:rPr>
          <w:rFonts w:hint="eastAsia" w:ascii="仿宋_GB2312" w:hAnsi="仿宋" w:eastAsia="仿宋_GB2312"/>
          <w:color w:val="auto"/>
          <w:sz w:val="32"/>
          <w:szCs w:val="32"/>
        </w:rPr>
        <w:t>《食品安全国家标准</w:t>
      </w:r>
      <w:r>
        <w:rPr>
          <w:rFonts w:hint="eastAsia" w:ascii="仿宋_GB2312" w:hAnsi="仿宋"/>
          <w:color w:val="auto"/>
          <w:sz w:val="32"/>
          <w:szCs w:val="32"/>
          <w:lang w:val="en-US" w:eastAsia="zh-CN"/>
        </w:rPr>
        <w:t xml:space="preserve"> </w:t>
      </w:r>
      <w:r>
        <w:rPr>
          <w:rFonts w:hint="eastAsia" w:ascii="仿宋_GB2312" w:hAnsi="仿宋" w:eastAsia="仿宋_GB2312"/>
          <w:color w:val="auto"/>
          <w:sz w:val="32"/>
          <w:szCs w:val="32"/>
        </w:rPr>
        <w:t>预包装食品营养标签通则》（</w:t>
      </w:r>
      <w:r>
        <w:rPr>
          <w:rFonts w:ascii="仿宋_GB2312" w:hAnsi="仿宋" w:eastAsia="仿宋_GB2312"/>
          <w:color w:val="auto"/>
          <w:sz w:val="32"/>
          <w:szCs w:val="32"/>
        </w:rPr>
        <w:t>GB</w:t>
      </w:r>
      <w:r>
        <w:rPr>
          <w:rFonts w:hint="eastAsia" w:ascii="仿宋_GB2312" w:hAnsi="仿宋" w:eastAsia="仿宋_GB2312"/>
          <w:color w:val="auto"/>
          <w:sz w:val="32"/>
          <w:szCs w:val="32"/>
        </w:rPr>
        <w:t xml:space="preserve"> 28050</w:t>
      </w:r>
      <w:r>
        <w:rPr>
          <w:rFonts w:ascii="仿宋_GB2312" w:hAnsi="仿宋" w:eastAsia="仿宋_GB2312"/>
          <w:color w:val="auto"/>
          <w:sz w:val="32"/>
          <w:szCs w:val="32"/>
        </w:rPr>
        <w:t>-20</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的</w:t>
      </w:r>
      <w:r>
        <w:rPr>
          <w:rFonts w:hint="eastAsia" w:ascii="仿宋_GB2312" w:hAnsi="仿宋" w:eastAsia="仿宋_GB2312"/>
          <w:color w:val="auto"/>
          <w:sz w:val="32"/>
          <w:szCs w:val="32"/>
        </w:rPr>
        <w:t>规定。食品标签不合格，虽对人体并无直接的危害，但标签标识不规范、不合理，</w:t>
      </w:r>
      <w:r>
        <w:rPr>
          <w:rFonts w:ascii="仿宋_GB2312" w:hAnsi="仿宋" w:eastAsia="仿宋_GB2312"/>
          <w:color w:val="auto"/>
          <w:sz w:val="32"/>
          <w:szCs w:val="32"/>
        </w:rPr>
        <w:t>将直接影响消费者对商品的判断和了解</w:t>
      </w:r>
      <w:r>
        <w:rPr>
          <w:rFonts w:hint="eastAsia" w:ascii="仿宋_GB2312" w:hAnsi="仿宋" w:eastAsia="仿宋_GB2312"/>
          <w:color w:val="auto"/>
          <w:sz w:val="32"/>
          <w:szCs w:val="32"/>
        </w:rPr>
        <w:t>，有误</w:t>
      </w:r>
      <w:r>
        <w:rPr>
          <w:rFonts w:hint="eastAsia" w:ascii="仿宋_GB2312" w:hAnsi="仿宋" w:eastAsia="仿宋_GB2312"/>
          <w:sz w:val="32"/>
          <w:szCs w:val="32"/>
        </w:rPr>
        <w:t>导消费者的风险，导致消费者错误购买，损害消费者的合法权益。</w:t>
      </w:r>
    </w:p>
    <w:p>
      <w:pPr>
        <w:spacing w:line="560" w:lineRule="exact"/>
        <w:ind w:firstLine="642" w:firstLineChars="200"/>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w:t>
      </w:r>
      <w:r>
        <w:rPr>
          <w:rFonts w:hint="eastAsia" w:ascii="楷体_GB2312" w:hAnsi="楷体" w:eastAsia="楷体_GB2312" w:cs="Arial"/>
          <w:b/>
          <w:sz w:val="32"/>
          <w:szCs w:val="32"/>
          <w:shd w:val="clear" w:color="auto" w:fill="FFFFFF"/>
          <w:lang w:eastAsia="zh-CN"/>
        </w:rPr>
        <w:t>十五</w:t>
      </w:r>
      <w:r>
        <w:rPr>
          <w:rFonts w:hint="eastAsia" w:ascii="楷体_GB2312" w:hAnsi="楷体" w:eastAsia="楷体_GB2312" w:cs="Arial"/>
          <w:b/>
          <w:sz w:val="32"/>
          <w:szCs w:val="32"/>
          <w:shd w:val="clear" w:color="auto" w:fill="FFFFFF"/>
        </w:rPr>
        <w:t>）氟苯尼考</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氟苯尼考又称氟甲砜霉素，是农业部批准使用的动物专用抗菌药，主要用于敏感细菌所致的猪、鸡、鱼的细菌性疾病。</w:t>
      </w:r>
      <w:r>
        <w:rPr>
          <w:rFonts w:hint="eastAsia" w:ascii="仿宋_GB2312" w:hAnsi="仿宋" w:eastAsia="仿宋_GB2312"/>
          <w:sz w:val="32"/>
          <w:szCs w:val="32"/>
        </w:rPr>
        <w:t>《食品安全国家标准 食品中兽药最大残留限量》（GB 31650-2019）中均</w:t>
      </w:r>
      <w:r>
        <w:rPr>
          <w:rFonts w:hint="eastAsia" w:ascii="仿宋_GB2312" w:hAnsi="仿宋" w:eastAsia="仿宋_GB2312" w:cs="仿宋"/>
          <w:sz w:val="32"/>
          <w:szCs w:val="32"/>
        </w:rPr>
        <w:t>规定，氟苯尼考可用于猪、牛、羊、禽、鱼等，但在产蛋期家禽中禁用（鸡蛋、鹅蛋中不得检出）。正常情况下消费者不必对禽蛋中检出氟苯尼考过于担心，但长期食用氟苯尼考残留超标的蛋品，对人体健康有一定风险。</w:t>
      </w:r>
    </w:p>
    <w:p>
      <w:pPr>
        <w:spacing w:line="560" w:lineRule="exact"/>
        <w:ind w:firstLine="642" w:firstLineChars="200"/>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w:t>
      </w:r>
      <w:r>
        <w:rPr>
          <w:rFonts w:hint="eastAsia" w:ascii="楷体_GB2312" w:hAnsi="楷体" w:eastAsia="楷体_GB2312" w:cs="Arial"/>
          <w:b/>
          <w:sz w:val="32"/>
          <w:szCs w:val="32"/>
          <w:shd w:val="clear" w:color="auto" w:fill="FFFFFF"/>
          <w:lang w:eastAsia="zh-CN"/>
        </w:rPr>
        <w:t>十六</w:t>
      </w:r>
      <w:r>
        <w:rPr>
          <w:rFonts w:hint="eastAsia" w:ascii="楷体_GB2312" w:hAnsi="楷体" w:eastAsia="楷体_GB2312" w:cs="Arial"/>
          <w:b/>
          <w:sz w:val="32"/>
          <w:szCs w:val="32"/>
          <w:shd w:val="clear" w:color="auto" w:fill="FFFFFF"/>
        </w:rPr>
        <w:t>）氯霉素</w:t>
      </w:r>
    </w:p>
    <w:p>
      <w:pPr>
        <w:widowControl/>
        <w:spacing w:line="560" w:lineRule="exact"/>
        <w:ind w:firstLine="640" w:firstLineChars="200"/>
      </w:pPr>
      <w:r>
        <w:rPr>
          <w:rFonts w:hint="eastAsia" w:ascii="仿宋_GB2312" w:hAnsi="仿宋" w:eastAsia="仿宋_GB2312" w:cs="仿宋"/>
          <w:sz w:val="32"/>
          <w:szCs w:val="32"/>
        </w:rPr>
        <w:t>氯霉素一种杀菌剂，也是高效广谱的抗生素，对革兰氏阳性菌和革兰氏阴性菌均有较好的抑制作用。</w:t>
      </w:r>
      <w:r>
        <w:rPr>
          <w:rFonts w:hint="eastAsia" w:ascii="仿宋_GB2312" w:hAnsi="仿宋" w:eastAsia="仿宋_GB2312"/>
          <w:sz w:val="32"/>
          <w:szCs w:val="32"/>
        </w:rPr>
        <w:t>《</w:t>
      </w:r>
      <w:r>
        <w:rPr>
          <w:rFonts w:hint="eastAsia" w:ascii="仿宋_GB2312" w:hAnsi="仿宋" w:eastAsia="仿宋_GB2312"/>
          <w:sz w:val="32"/>
          <w:szCs w:val="32"/>
          <w:lang w:eastAsia="zh-CN"/>
        </w:rPr>
        <w:t>关于印发</w:t>
      </w:r>
      <w:r>
        <w:rPr>
          <w:rFonts w:hint="eastAsia" w:ascii="仿宋_GB2312" w:hAnsi="仿宋" w:eastAsia="仿宋_GB2312"/>
          <w:sz w:val="32"/>
          <w:szCs w:val="32"/>
          <w:lang w:val="en-US" w:eastAsia="zh-CN"/>
        </w:rPr>
        <w:t>&lt;食品中可能违法添加的非食用物质和易滥用的食品添加剂品种名单（第五批）的通知&gt;</w:t>
      </w:r>
      <w:r>
        <w:rPr>
          <w:rFonts w:hint="eastAsia" w:ascii="仿宋_GB2312" w:hAnsi="仿宋" w:eastAsia="仿宋_GB2312"/>
          <w:sz w:val="32"/>
          <w:szCs w:val="32"/>
        </w:rPr>
        <w:t>》</w:t>
      </w:r>
      <w:r>
        <w:rPr>
          <w:rFonts w:hint="eastAsia" w:ascii="仿宋_GB2312" w:hAnsi="仿宋" w:eastAsia="仿宋_GB2312"/>
          <w:color w:val="auto"/>
          <w:sz w:val="32"/>
          <w:szCs w:val="32"/>
        </w:rPr>
        <w:t>中规定，</w:t>
      </w:r>
      <w:r>
        <w:rPr>
          <w:rFonts w:hint="eastAsia" w:ascii="仿宋_GB2312" w:hAnsi="仿宋" w:eastAsia="仿宋_GB2312"/>
          <w:sz w:val="32"/>
          <w:szCs w:val="32"/>
        </w:rPr>
        <w:t>该类药物为禁用兽药</w:t>
      </w:r>
      <w:r>
        <w:rPr>
          <w:rFonts w:ascii="仿宋_GB2312" w:hAnsi="宋体" w:eastAsia="仿宋_GB2312" w:cs="宋体"/>
          <w:kern w:val="0"/>
          <w:sz w:val="32"/>
          <w:szCs w:val="32"/>
        </w:rPr>
        <w:t>，在动物性食品中不得检出。</w:t>
      </w:r>
      <w:r>
        <w:rPr>
          <w:rFonts w:hint="eastAsia" w:ascii="仿宋_GB2312" w:hAnsi="仿宋" w:eastAsia="仿宋_GB2312" w:cs="仿宋"/>
          <w:sz w:val="32"/>
          <w:szCs w:val="32"/>
        </w:rPr>
        <w:t>长期食用氯霉素残留超标的食品可能引起人体肠道菌群失调，导致消化机能紊乱；此外，人体过量摄入氯霉素可引起人肝脏和骨髓造血机能的损害，导致再生障碍性贫血和血小板减少、肝损伤等健康危害。</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rPr>
        <w:t>二、建议</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6" w:firstLineChars="220"/>
        <w:textAlignment w:val="auto"/>
        <w:rPr>
          <w:rFonts w:ascii="楷体_GB2312" w:hAnsi="楷体" w:eastAsia="楷体_GB2312"/>
          <w:b/>
          <w:sz w:val="32"/>
          <w:szCs w:val="32"/>
        </w:rPr>
      </w:pPr>
      <w:r>
        <w:rPr>
          <w:rFonts w:hint="eastAsia" w:ascii="楷体_GB2312" w:hAnsi="楷体" w:eastAsia="楷体_GB2312"/>
          <w:b/>
          <w:sz w:val="32"/>
          <w:szCs w:val="32"/>
        </w:rPr>
        <w:t>（一）加强原辅料的把控</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楷体_GB2312" w:eastAsia="楷体_GB2312"/>
          <w:bCs/>
          <w:color w:val="auto"/>
          <w:highlight w:val="none"/>
        </w:rPr>
      </w:pPr>
      <w:r>
        <w:rPr>
          <w:rFonts w:hint="eastAsia" w:ascii="楷体_GB2312" w:hAnsi="楷体" w:eastAsia="楷体_GB2312"/>
          <w:b/>
          <w:color w:val="auto"/>
          <w:szCs w:val="32"/>
          <w:highlight w:val="none"/>
        </w:rPr>
        <w:t>（二）规范药物使用</w:t>
      </w:r>
    </w:p>
    <w:p>
      <w:pPr>
        <w:keepNext w:val="0"/>
        <w:keepLines w:val="0"/>
        <w:pageBreakBefore w:val="0"/>
        <w:kinsoku/>
        <w:wordWrap/>
        <w:overflowPunct/>
        <w:topLinePunct w:val="0"/>
        <w:autoSpaceDE/>
        <w:autoSpaceDN/>
        <w:bidi w:val="0"/>
        <w:adjustRightInd/>
        <w:snapToGrid/>
        <w:spacing w:line="560" w:lineRule="exact"/>
        <w:textAlignment w:val="auto"/>
        <w:rPr>
          <w:rFonts w:ascii="仿宋_GB2312" w:hAnsi="仿宋"/>
          <w:color w:val="auto"/>
          <w:szCs w:val="32"/>
          <w:highlight w:val="none"/>
        </w:rPr>
      </w:pPr>
      <w:r>
        <w:rPr>
          <w:rFonts w:hint="eastAsia" w:ascii="仿宋_GB2312" w:hAnsi="仿宋"/>
          <w:color w:val="auto"/>
          <w:szCs w:val="32"/>
          <w:highlight w:val="none"/>
        </w:rPr>
        <w:t>针对</w:t>
      </w:r>
      <w:bookmarkStart w:id="0" w:name="_GoBack"/>
      <w:bookmarkEnd w:id="0"/>
      <w:r>
        <w:rPr>
          <w:rFonts w:hint="default" w:ascii="仿宋_GB2312" w:hAnsi="仿宋"/>
          <w:color w:val="auto"/>
          <w:szCs w:val="32"/>
          <w:highlight w:val="none"/>
          <w:lang w:val="en"/>
        </w:rPr>
        <w:t>种植养殖</w:t>
      </w:r>
      <w:r>
        <w:rPr>
          <w:rFonts w:hint="eastAsia" w:ascii="仿宋_GB2312" w:hAnsi="仿宋"/>
          <w:color w:val="auto"/>
          <w:szCs w:val="32"/>
          <w:highlight w:val="none"/>
        </w:rPr>
        <w:t>环节，</w:t>
      </w:r>
      <w:r>
        <w:rPr>
          <w:rFonts w:hint="default" w:ascii="仿宋_GB2312" w:hAnsi="仿宋"/>
          <w:color w:val="auto"/>
          <w:szCs w:val="32"/>
          <w:highlight w:val="none"/>
          <w:lang w:val="en"/>
        </w:rPr>
        <w:t>种植养殖</w:t>
      </w:r>
      <w:r>
        <w:rPr>
          <w:rFonts w:hint="eastAsia" w:ascii="仿宋_GB2312" w:hAnsi="仿宋"/>
          <w:color w:val="auto"/>
          <w:szCs w:val="32"/>
          <w:highlight w:val="none"/>
        </w:rPr>
        <w:t>户应严格按照药物说明书进行规范用药。加大对生产经营人员专业知识的培训，对</w:t>
      </w:r>
      <w:r>
        <w:rPr>
          <w:rFonts w:hint="default" w:ascii="仿宋_GB2312" w:hAnsi="仿宋"/>
          <w:color w:val="auto"/>
          <w:szCs w:val="32"/>
          <w:highlight w:val="none"/>
          <w:lang w:val="en"/>
        </w:rPr>
        <w:t>种植养殖</w:t>
      </w:r>
      <w:r>
        <w:rPr>
          <w:rFonts w:hint="eastAsia" w:ascii="仿宋_GB2312" w:hAnsi="仿宋"/>
          <w:color w:val="auto"/>
          <w:szCs w:val="32"/>
          <w:highlight w:val="none"/>
        </w:rPr>
        <w:t>基地、农户进行药物使用知识的培训力度，加强</w:t>
      </w:r>
      <w:r>
        <w:rPr>
          <w:rFonts w:hint="default" w:ascii="仿宋_GB2312" w:hAnsi="仿宋"/>
          <w:color w:val="auto"/>
          <w:szCs w:val="32"/>
          <w:highlight w:val="none"/>
          <w:lang w:val="en"/>
        </w:rPr>
        <w:t>种植养殖</w:t>
      </w:r>
      <w:r>
        <w:rPr>
          <w:rFonts w:hint="eastAsia" w:ascii="仿宋_GB2312" w:hAnsi="仿宋"/>
          <w:color w:val="auto"/>
          <w:szCs w:val="32"/>
          <w:highlight w:val="none"/>
        </w:rPr>
        <w:t>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r>
        <w:rPr>
          <w:rFonts w:hint="eastAsia"/>
          <w:color w:val="auto"/>
          <w:highlight w:val="none"/>
        </w:rPr>
        <w:t>。</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Style w:val="11"/>
          <w:rFonts w:ascii="楷体_GB2312" w:hAnsi="楷体" w:eastAsia="楷体_GB2312"/>
          <w:color w:val="auto"/>
          <w:sz w:val="32"/>
          <w:szCs w:val="32"/>
          <w:highlight w:val="none"/>
        </w:rPr>
      </w:pPr>
      <w:r>
        <w:rPr>
          <w:rStyle w:val="11"/>
          <w:rFonts w:hint="eastAsia" w:ascii="楷体_GB2312" w:hAnsi="楷体" w:eastAsia="楷体_GB2312"/>
          <w:color w:val="auto"/>
          <w:sz w:val="32"/>
          <w:szCs w:val="32"/>
          <w:highlight w:val="none"/>
        </w:rPr>
        <w:t>（</w:t>
      </w:r>
      <w:r>
        <w:rPr>
          <w:rStyle w:val="11"/>
          <w:rFonts w:hint="eastAsia" w:ascii="楷体_GB2312" w:hAnsi="楷体" w:eastAsia="楷体_GB2312"/>
          <w:color w:val="auto"/>
          <w:sz w:val="32"/>
          <w:szCs w:val="32"/>
          <w:highlight w:val="none"/>
          <w:lang w:eastAsia="zh-CN"/>
        </w:rPr>
        <w:t>三</w:t>
      </w:r>
      <w:r>
        <w:rPr>
          <w:rStyle w:val="11"/>
          <w:rFonts w:hint="eastAsia" w:ascii="楷体_GB2312" w:hAnsi="楷体" w:eastAsia="楷体_GB2312"/>
          <w:color w:val="auto"/>
          <w:sz w:val="32"/>
          <w:szCs w:val="32"/>
          <w:highlight w:val="none"/>
        </w:rPr>
        <w:t>）提高食品添加剂安全使用意识</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四</w:t>
      </w:r>
      <w:r>
        <w:rPr>
          <w:rFonts w:hint="eastAsia" w:ascii="楷体_GB2312" w:hAnsi="楷体" w:eastAsia="楷体_GB2312"/>
          <w:b/>
          <w:color w:val="auto"/>
          <w:sz w:val="32"/>
          <w:szCs w:val="32"/>
        </w:rPr>
        <w:t>）加强食品出厂检验</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jc w:val="both"/>
        <w:textAlignment w:val="auto"/>
        <w:rPr>
          <w:rFonts w:hint="eastAsia" w:ascii="仿宋_GB2312" w:hAnsi="仿宋_GB2312" w:cs="仿宋_GB2312"/>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D4506"/>
    <w:rsid w:val="006B1DCC"/>
    <w:rsid w:val="00724BD2"/>
    <w:rsid w:val="008D6C99"/>
    <w:rsid w:val="00B977A2"/>
    <w:rsid w:val="010D4506"/>
    <w:rsid w:val="07C82C95"/>
    <w:rsid w:val="091C5D20"/>
    <w:rsid w:val="0C455D22"/>
    <w:rsid w:val="0CD4225F"/>
    <w:rsid w:val="0EA93008"/>
    <w:rsid w:val="0EC839C2"/>
    <w:rsid w:val="10AD16A7"/>
    <w:rsid w:val="1162065F"/>
    <w:rsid w:val="11B32DA0"/>
    <w:rsid w:val="16396F4B"/>
    <w:rsid w:val="16A52765"/>
    <w:rsid w:val="176818BF"/>
    <w:rsid w:val="17FA5E44"/>
    <w:rsid w:val="181E6360"/>
    <w:rsid w:val="199008F8"/>
    <w:rsid w:val="1B042E72"/>
    <w:rsid w:val="1C2B3ECE"/>
    <w:rsid w:val="1F456A61"/>
    <w:rsid w:val="200B2815"/>
    <w:rsid w:val="231A399D"/>
    <w:rsid w:val="249A66FD"/>
    <w:rsid w:val="25D84592"/>
    <w:rsid w:val="274815F0"/>
    <w:rsid w:val="27D171E0"/>
    <w:rsid w:val="2DA27B95"/>
    <w:rsid w:val="2FFC71C6"/>
    <w:rsid w:val="323F00BC"/>
    <w:rsid w:val="324700B2"/>
    <w:rsid w:val="36A26439"/>
    <w:rsid w:val="387272BF"/>
    <w:rsid w:val="38865B2F"/>
    <w:rsid w:val="3BFE4DC9"/>
    <w:rsid w:val="3E051E67"/>
    <w:rsid w:val="3E88008E"/>
    <w:rsid w:val="3E984FE9"/>
    <w:rsid w:val="3EC80CDE"/>
    <w:rsid w:val="44141429"/>
    <w:rsid w:val="464A4562"/>
    <w:rsid w:val="4848609B"/>
    <w:rsid w:val="4B37566A"/>
    <w:rsid w:val="4EBC0748"/>
    <w:rsid w:val="4FED4605"/>
    <w:rsid w:val="52FE47AC"/>
    <w:rsid w:val="533A17A5"/>
    <w:rsid w:val="53465E28"/>
    <w:rsid w:val="59E33FF0"/>
    <w:rsid w:val="59EA54F5"/>
    <w:rsid w:val="5E214E94"/>
    <w:rsid w:val="5E7004E1"/>
    <w:rsid w:val="6048573D"/>
    <w:rsid w:val="62547A4D"/>
    <w:rsid w:val="63E10B0C"/>
    <w:rsid w:val="65E578BD"/>
    <w:rsid w:val="6792245C"/>
    <w:rsid w:val="6801069F"/>
    <w:rsid w:val="69130912"/>
    <w:rsid w:val="69CB77D8"/>
    <w:rsid w:val="6A323B2C"/>
    <w:rsid w:val="6ECD36FF"/>
    <w:rsid w:val="72A04A1F"/>
    <w:rsid w:val="72F24D9D"/>
    <w:rsid w:val="738026E3"/>
    <w:rsid w:val="75CA36CA"/>
    <w:rsid w:val="763955BF"/>
    <w:rsid w:val="77FC16E5"/>
    <w:rsid w:val="78FE0A2F"/>
    <w:rsid w:val="7B5E04A9"/>
    <w:rsid w:val="7C073518"/>
    <w:rsid w:val="7F37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4">
    <w:name w:val="heading 1"/>
    <w:basedOn w:val="1"/>
    <w:next w:val="1"/>
    <w:qFormat/>
    <w:uiPriority w:val="0"/>
    <w:pPr>
      <w:keepNext/>
      <w:keepLines/>
      <w:spacing w:before="340" w:after="330" w:line="576" w:lineRule="auto"/>
      <w:outlineLvl w:val="0"/>
    </w:pPr>
    <w:rPr>
      <w:rFonts w:eastAsia="楷体_GB2312"/>
      <w:b/>
      <w:kern w:val="44"/>
    </w:rPr>
  </w:style>
  <w:style w:type="paragraph" w:styleId="5">
    <w:name w:val="heading 2"/>
    <w:basedOn w:val="1"/>
    <w:next w:val="1"/>
    <w:link w:val="16"/>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0"/>
      <w:ind w:left="420" w:leftChars="200" w:firstLine="420"/>
    </w:pPr>
  </w:style>
  <w:style w:type="paragraph" w:styleId="3">
    <w:name w:val="Body Text Indent"/>
    <w:basedOn w:val="1"/>
    <w:qFormat/>
    <w:uiPriority w:val="0"/>
    <w:pPr>
      <w:spacing w:before="120" w:after="120"/>
      <w:ind w:firstLine="480"/>
    </w:pPr>
    <w:rPr>
      <w:rFonts w:ascii="宋体" w:hAnsi="宋体"/>
      <w:sz w:val="24"/>
      <w:szCs w:val="20"/>
    </w:r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customStyle="1" w:styleId="13">
    <w:name w:val="本文正文"/>
    <w:basedOn w:val="1"/>
    <w:qFormat/>
    <w:uiPriority w:val="0"/>
    <w:pPr>
      <w:spacing w:line="360" w:lineRule="auto"/>
      <w:ind w:firstLine="803"/>
    </w:pPr>
    <w:rPr>
      <w:rFonts w:ascii="宋体" w:hAnsi="宋体"/>
      <w:sz w:val="24"/>
    </w:rPr>
  </w:style>
  <w:style w:type="character" w:customStyle="1" w:styleId="14">
    <w:name w:val="页眉 字符"/>
    <w:basedOn w:val="10"/>
    <w:link w:val="7"/>
    <w:qFormat/>
    <w:uiPriority w:val="0"/>
    <w:rPr>
      <w:rFonts w:ascii="Calibri" w:hAnsi="Calibri" w:eastAsia="仿宋_GB2312"/>
      <w:kern w:val="2"/>
      <w:sz w:val="18"/>
      <w:szCs w:val="18"/>
    </w:rPr>
  </w:style>
  <w:style w:type="character" w:customStyle="1" w:styleId="15">
    <w:name w:val="页脚 字符"/>
    <w:basedOn w:val="10"/>
    <w:link w:val="6"/>
    <w:qFormat/>
    <w:uiPriority w:val="0"/>
    <w:rPr>
      <w:rFonts w:ascii="Calibri" w:hAnsi="Calibri" w:eastAsia="仿宋_GB2312"/>
      <w:kern w:val="2"/>
      <w:sz w:val="18"/>
      <w:szCs w:val="18"/>
    </w:rPr>
  </w:style>
  <w:style w:type="character" w:customStyle="1" w:styleId="16">
    <w:name w:val="标题 2 字符"/>
    <w:basedOn w:val="10"/>
    <w:link w:val="5"/>
    <w:semiHidden/>
    <w:qFormat/>
    <w:uiPriority w:val="0"/>
    <w:rPr>
      <w:rFonts w:asciiTheme="majorHAnsi" w:hAnsiTheme="majorHAnsi" w:eastAsiaTheme="majorEastAsia" w:cstheme="majorBidi"/>
      <w:b/>
      <w:bCs/>
      <w:kern w:val="2"/>
      <w:sz w:val="32"/>
      <w:szCs w:val="32"/>
    </w:rPr>
  </w:style>
  <w:style w:type="paragraph" w:customStyle="1" w:styleId="17">
    <w:name w:val="列出段落2"/>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8</Pages>
  <Words>600</Words>
  <Characters>3426</Characters>
  <Lines>28</Lines>
  <Paragraphs>8</Paragraphs>
  <TotalTime>175</TotalTime>
  <ScaleCrop>false</ScaleCrop>
  <LinksUpToDate>false</LinksUpToDate>
  <CharactersWithSpaces>4018</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chenkang1</cp:lastModifiedBy>
  <dcterms:modified xsi:type="dcterms:W3CDTF">2022-04-27T19:18:03Z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