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Arial"/>
          <w:color w:val="auto"/>
          <w:kern w:val="0"/>
          <w:szCs w:val="32"/>
          <w:lang w:eastAsia="zh-CN"/>
        </w:rPr>
      </w:pPr>
      <w:r>
        <w:rPr>
          <w:rFonts w:hint="eastAsia" w:ascii="黑体" w:hAnsi="黑体" w:eastAsia="黑体" w:cs="Arial"/>
          <w:color w:val="auto"/>
          <w:kern w:val="0"/>
          <w:szCs w:val="32"/>
        </w:rPr>
        <w:t>附件</w:t>
      </w:r>
      <w:r>
        <w:rPr>
          <w:rFonts w:hint="eastAsia" w:ascii="黑体" w:hAnsi="黑体" w:eastAsia="黑体" w:cs="Arial"/>
          <w:color w:val="auto"/>
          <w:kern w:val="0"/>
          <w:szCs w:val="32"/>
          <w:lang w:val="en-US" w:eastAsia="zh-CN"/>
        </w:rPr>
        <w:t>2</w:t>
      </w:r>
    </w:p>
    <w:p>
      <w:pPr>
        <w:keepNext w:val="0"/>
        <w:keepLines w:val="0"/>
        <w:pageBreakBefore w:val="0"/>
        <w:kinsoku/>
        <w:wordWrap/>
        <w:overflowPunct/>
        <w:topLinePunct w:val="0"/>
        <w:autoSpaceDE/>
        <w:autoSpaceDN/>
        <w:bidi w:val="0"/>
        <w:adjustRightInd/>
        <w:snapToGrid/>
        <w:spacing w:line="560" w:lineRule="exact"/>
        <w:ind w:firstLine="832"/>
        <w:jc w:val="center"/>
        <w:textAlignment w:val="auto"/>
        <w:rPr>
          <w:rFonts w:ascii="方正小标宋简体" w:hAnsi="方正小标宋简体" w:eastAsia="方正小标宋简体" w:cs="方正小标宋简体"/>
          <w:color w:val="auto"/>
          <w:spacing w:val="-12"/>
          <w:sz w:val="44"/>
          <w:szCs w:val="44"/>
        </w:rPr>
      </w:pPr>
      <w:r>
        <w:rPr>
          <w:rFonts w:hint="eastAsia" w:ascii="华文中宋" w:hAnsi="华文中宋" w:eastAsia="华文中宋" w:cs="华文中宋"/>
          <w:color w:val="auto"/>
          <w:spacing w:val="-12"/>
          <w:sz w:val="44"/>
          <w:szCs w:val="44"/>
        </w:rPr>
        <w:t>部分不合格项目小知识</w:t>
      </w:r>
    </w:p>
    <w:p>
      <w:pPr>
        <w:pStyle w:val="11"/>
        <w:keepNext w:val="0"/>
        <w:keepLines w:val="0"/>
        <w:pageBreakBefore w:val="0"/>
        <w:kinsoku/>
        <w:wordWrap/>
        <w:overflowPunct/>
        <w:topLinePunct w:val="0"/>
        <w:autoSpaceDE/>
        <w:autoSpaceDN/>
        <w:bidi w:val="0"/>
        <w:adjustRightInd/>
        <w:snapToGrid/>
        <w:spacing w:after="0" w:line="560" w:lineRule="exact"/>
        <w:ind w:left="640" w:firstLine="480"/>
        <w:textAlignment w:val="auto"/>
        <w:rPr>
          <w:color w:val="auto"/>
        </w:rPr>
      </w:pPr>
    </w:p>
    <w:p>
      <w:pPr>
        <w:keepNext w:val="0"/>
        <w:keepLines w:val="0"/>
        <w:pageBreakBefore w:val="0"/>
        <w:kinsoku/>
        <w:wordWrap/>
        <w:overflowPunct/>
        <w:topLinePunct w:val="0"/>
        <w:autoSpaceDE/>
        <w:autoSpaceDN/>
        <w:bidi w:val="0"/>
        <w:adjustRightInd/>
        <w:snapToGrid/>
        <w:spacing w:line="560" w:lineRule="exact"/>
        <w:ind w:firstLine="643"/>
        <w:textAlignment w:val="auto"/>
        <w:rPr>
          <w:rFonts w:ascii="黑体" w:hAnsi="黑体" w:eastAsia="黑体" w:cs="黑体"/>
          <w:b w:val="0"/>
          <w:bCs w:val="0"/>
          <w:color w:val="auto"/>
          <w:szCs w:val="32"/>
        </w:rPr>
      </w:pPr>
      <w:r>
        <w:rPr>
          <w:rFonts w:hint="eastAsia" w:ascii="黑体" w:hAnsi="黑体" w:eastAsia="黑体" w:cs="黑体"/>
          <w:b w:val="0"/>
          <w:bCs w:val="0"/>
          <w:color w:val="auto"/>
          <w:szCs w:val="32"/>
        </w:rPr>
        <w:t>一、不合格项目小知识</w:t>
      </w:r>
    </w:p>
    <w:p>
      <w:pPr>
        <w:spacing w:line="560" w:lineRule="exact"/>
        <w:ind w:firstLine="643" w:firstLineChars="200"/>
        <w:rPr>
          <w:rFonts w:hint="eastAsia" w:ascii="楷体_GB2312" w:hAnsi="楷体" w:eastAsia="楷体_GB2312" w:cs="仿宋_GB2312"/>
          <w:b/>
          <w:color w:val="auto"/>
          <w:sz w:val="32"/>
          <w:szCs w:val="32"/>
          <w:lang w:eastAsia="zh-CN"/>
        </w:rPr>
      </w:pPr>
      <w:r>
        <w:rPr>
          <w:rFonts w:hint="eastAsia" w:ascii="楷体_GB2312" w:hAnsi="楷体" w:eastAsia="楷体_GB2312" w:cs="仿宋_GB2312"/>
          <w:b/>
          <w:color w:val="auto"/>
          <w:sz w:val="32"/>
          <w:szCs w:val="32"/>
          <w:lang w:eastAsia="zh-CN"/>
        </w:rPr>
        <w:t>（</w:t>
      </w:r>
      <w:r>
        <w:rPr>
          <w:rFonts w:hint="eastAsia" w:ascii="楷体_GB2312" w:hAnsi="楷体" w:eastAsia="楷体_GB2312" w:cs="仿宋_GB2312"/>
          <w:b/>
          <w:color w:val="auto"/>
          <w:sz w:val="32"/>
          <w:szCs w:val="32"/>
          <w:lang w:val="en-US" w:eastAsia="zh-CN"/>
        </w:rPr>
        <w:t>一</w:t>
      </w:r>
      <w:r>
        <w:rPr>
          <w:rFonts w:hint="eastAsia" w:ascii="楷体_GB2312" w:hAnsi="楷体" w:eastAsia="楷体_GB2312" w:cs="仿宋_GB2312"/>
          <w:b/>
          <w:color w:val="auto"/>
          <w:sz w:val="32"/>
          <w:szCs w:val="32"/>
          <w:lang w:eastAsia="zh-CN"/>
        </w:rPr>
        <w:t>）二氧化硫残留量</w:t>
      </w:r>
    </w:p>
    <w:p>
      <w:pPr>
        <w:spacing w:line="560" w:lineRule="exact"/>
        <w:ind w:firstLine="640" w:firstLineChars="200"/>
        <w:rPr>
          <w:color w:val="auto"/>
        </w:rPr>
      </w:pPr>
      <w:r>
        <w:rPr>
          <w:rFonts w:hint="eastAsia" w:ascii="仿宋_GB2312" w:hAnsi="仿宋" w:eastAsia="仿宋_GB2312" w:cs="宋体"/>
          <w:color w:val="auto"/>
          <w:kern w:val="0"/>
          <w:sz w:val="32"/>
          <w:szCs w:val="32"/>
        </w:rPr>
        <w:t>食品中的二氧化硫残留通常是指二氧化硫、硫磺以及焦亚硫酸钠、焦亚硫酸钾、亚硫酸钠、亚硫酸氢钠、低亚硫酸钠等无机亚硫酸盐残留的统称。</w:t>
      </w:r>
      <w:r>
        <w:rPr>
          <w:rFonts w:hint="eastAsia" w:ascii="仿宋_GB2312" w:hAnsi="仿宋" w:eastAsia="仿宋_GB2312"/>
          <w:color w:val="auto"/>
          <w:sz w:val="32"/>
          <w:szCs w:val="32"/>
        </w:rPr>
        <w:t>《食品安全国家标准 食品添加剂使用标准》（GB 2760-2014）中规定，干制蔬菜中二氧化硫残留量应≤0.2g/kg。</w:t>
      </w:r>
      <w:r>
        <w:rPr>
          <w:rFonts w:hint="eastAsia" w:ascii="仿宋_GB2312" w:hAnsi="仿宋" w:eastAsia="仿宋_GB2312" w:cs="宋体"/>
          <w:color w:val="auto"/>
          <w:kern w:val="0"/>
          <w:sz w:val="32"/>
          <w:szCs w:val="32"/>
        </w:rPr>
        <w:t>对二氧化硫有过敏反应的人（如哮喘病患者等）若食用二氧化硫超标的食物，可能会出现气喘、头痛或恶心等过敏症状。若长期大量摄入二氧化硫残留超标的食品，则可能对人体健康造成危害，其毒性表现为胃肠道反应，如恶心、呕吐等。此外，还会影响钙吸收，使机体钙丢失。</w:t>
      </w:r>
    </w:p>
    <w:p>
      <w:pPr>
        <w:spacing w:line="560" w:lineRule="exact"/>
        <w:ind w:firstLine="643" w:firstLineChars="200"/>
        <w:rPr>
          <w:rFonts w:hint="eastAsia" w:ascii="楷体_GB2312" w:hAnsi="楷体" w:eastAsia="楷体_GB2312" w:cs="仿宋_GB2312"/>
          <w:b/>
          <w:sz w:val="32"/>
          <w:szCs w:val="32"/>
          <w:lang w:eastAsia="zh-CN"/>
        </w:rPr>
      </w:pPr>
      <w:r>
        <w:rPr>
          <w:rFonts w:hint="eastAsia" w:ascii="楷体_GB2312" w:hAnsi="楷体" w:eastAsia="楷体_GB2312" w:cs="仿宋_GB2312"/>
          <w:b/>
          <w:sz w:val="32"/>
          <w:szCs w:val="32"/>
          <w:lang w:eastAsia="zh-CN"/>
        </w:rPr>
        <w:t>（</w:t>
      </w:r>
      <w:r>
        <w:rPr>
          <w:rFonts w:hint="eastAsia" w:ascii="楷体_GB2312" w:hAnsi="楷体" w:eastAsia="楷体_GB2312" w:cs="仿宋_GB2312"/>
          <w:b/>
          <w:sz w:val="32"/>
          <w:szCs w:val="32"/>
          <w:lang w:val="en-US" w:eastAsia="zh-CN"/>
        </w:rPr>
        <w:t>二</w:t>
      </w:r>
      <w:r>
        <w:rPr>
          <w:rFonts w:hint="eastAsia" w:ascii="楷体_GB2312" w:hAnsi="楷体" w:eastAsia="楷体_GB2312" w:cs="仿宋_GB2312"/>
          <w:b/>
          <w:sz w:val="32"/>
          <w:szCs w:val="32"/>
          <w:lang w:eastAsia="zh-CN"/>
        </w:rPr>
        <w:t>）大肠菌群</w:t>
      </w:r>
    </w:p>
    <w:p>
      <w:pPr>
        <w:widowControl/>
        <w:jc w:val="both"/>
        <w:rPr>
          <w:rFonts w:hint="eastAsia" w:ascii="仿宋_GB2312" w:hAnsi="仿宋" w:eastAsia="仿宋_GB2312"/>
          <w:color w:val="auto"/>
          <w:sz w:val="32"/>
          <w:szCs w:val="32"/>
        </w:rPr>
      </w:pPr>
      <w:r>
        <w:rPr>
          <w:rFonts w:ascii="仿宋_GB2312" w:hAnsi="仿宋" w:eastAsia="仿宋_GB2312"/>
          <w:sz w:val="32"/>
          <w:szCs w:val="32"/>
          <w:lang w:val="zh-CN"/>
        </w:rPr>
        <w:t>大肠菌群是国内外通用的食品污染常用指示菌之一。《食品安全国家标</w:t>
      </w:r>
      <w:r>
        <w:rPr>
          <w:rFonts w:hint="eastAsia" w:ascii="仿宋_GB2312" w:hAnsi="仿宋" w:eastAsia="仿宋_GB2312"/>
          <w:sz w:val="32"/>
          <w:szCs w:val="32"/>
          <w:lang w:val="zh-CN"/>
        </w:rPr>
        <w:t>准 消毒餐（饮）具</w:t>
      </w:r>
      <w:r>
        <w:rPr>
          <w:rFonts w:ascii="仿宋_GB2312" w:hAnsi="仿宋" w:eastAsia="仿宋_GB2312"/>
          <w:sz w:val="32"/>
          <w:szCs w:val="32"/>
          <w:lang w:val="zh-CN"/>
        </w:rPr>
        <w:t xml:space="preserve">》（GB </w:t>
      </w:r>
      <w:r>
        <w:rPr>
          <w:rFonts w:hint="eastAsia" w:ascii="仿宋_GB2312" w:hAnsi="仿宋" w:eastAsia="仿宋_GB2312"/>
          <w:sz w:val="32"/>
          <w:szCs w:val="32"/>
          <w:lang w:val="zh-CN"/>
        </w:rPr>
        <w:t>14934</w:t>
      </w:r>
      <w:r>
        <w:rPr>
          <w:rFonts w:hint="eastAsia" w:ascii="仿宋_GB2312" w:hAnsi="仿宋" w:eastAsia="仿宋_GB2312"/>
          <w:color w:val="auto"/>
          <w:sz w:val="32"/>
          <w:szCs w:val="32"/>
          <w:lang w:val="en-US" w:eastAsia="zh-CN"/>
        </w:rPr>
        <w:t>-</w:t>
      </w:r>
      <w:r>
        <w:rPr>
          <w:rFonts w:ascii="仿宋_GB2312" w:hAnsi="仿宋" w:eastAsia="仿宋_GB2312"/>
          <w:sz w:val="32"/>
          <w:szCs w:val="32"/>
          <w:lang w:val="zh-CN"/>
        </w:rPr>
        <w:t>201</w:t>
      </w:r>
      <w:r>
        <w:rPr>
          <w:rFonts w:hint="eastAsia" w:ascii="仿宋_GB2312" w:hAnsi="仿宋" w:eastAsia="仿宋_GB2312"/>
          <w:sz w:val="32"/>
          <w:szCs w:val="32"/>
          <w:lang w:val="zh-CN"/>
        </w:rPr>
        <w:t>6</w:t>
      </w:r>
      <w:r>
        <w:rPr>
          <w:rFonts w:ascii="仿宋_GB2312" w:hAnsi="仿宋" w:eastAsia="仿宋_GB2312"/>
          <w:sz w:val="32"/>
          <w:szCs w:val="32"/>
          <w:lang w:val="zh-CN"/>
        </w:rPr>
        <w:t>）中规定，</w:t>
      </w:r>
      <w:r>
        <w:rPr>
          <w:rFonts w:hint="eastAsia" w:ascii="仿宋_GB2312" w:hAnsi="仿宋" w:eastAsia="仿宋_GB2312"/>
          <w:sz w:val="32"/>
          <w:szCs w:val="32"/>
          <w:lang w:val="zh-CN"/>
        </w:rPr>
        <w:t>消毒餐（饮）具（每50</w:t>
      </w:r>
      <w:r>
        <w:rPr>
          <w:rFonts w:hint="eastAsia" w:ascii="仿宋_GB2312" w:hAnsi="仿宋" w:eastAsia="仿宋_GB2312"/>
          <w:sz w:val="32"/>
          <w:szCs w:val="32"/>
          <w:lang w:val="en-US" w:eastAsia="zh-CN"/>
        </w:rPr>
        <w:t>c</w:t>
      </w:r>
      <w:r>
        <w:rPr>
          <w:rFonts w:hint="eastAsia" w:ascii="仿宋_GB2312" w:hAnsi="仿宋" w:eastAsia="仿宋_GB2312"/>
          <w:sz w:val="32"/>
          <w:szCs w:val="32"/>
          <w:lang w:val="zh-CN"/>
        </w:rPr>
        <w:t>m</w:t>
      </w:r>
      <w:r>
        <w:rPr>
          <w:rFonts w:hint="eastAsia" w:ascii="仿宋_GB2312" w:hAnsi="仿宋" w:eastAsia="仿宋_GB2312"/>
          <w:color w:val="auto"/>
          <w:sz w:val="32"/>
          <w:szCs w:val="32"/>
          <w:vertAlign w:val="superscript"/>
          <w:lang w:val="zh-CN"/>
        </w:rPr>
        <w:t>2</w:t>
      </w:r>
      <w:r>
        <w:rPr>
          <w:rFonts w:hint="eastAsia" w:ascii="仿宋_GB2312" w:hAnsi="仿宋" w:eastAsia="仿宋_GB2312"/>
          <w:sz w:val="32"/>
          <w:szCs w:val="32"/>
          <w:lang w:val="zh-CN"/>
        </w:rPr>
        <w:t>）中不得检出大肠菌群。</w:t>
      </w:r>
      <w:r>
        <w:rPr>
          <w:rFonts w:hint="eastAsia" w:ascii="仿宋_GB2312" w:hAnsi="仿宋" w:eastAsia="仿宋_GB2312"/>
          <w:color w:val="auto"/>
          <w:sz w:val="32"/>
          <w:szCs w:val="32"/>
        </w:rPr>
        <w:t>餐饮具中检出大肠菌群提示餐饮具可能因清洗消毒不当或交叉污染导致食具受到肠道致病菌污染，如就餐者使用了大肠菌群不合格的餐饮具，可能会出现呕吐、腹泻等消化道疾病。</w:t>
      </w:r>
    </w:p>
    <w:p>
      <w:pPr>
        <w:spacing w:line="560" w:lineRule="exact"/>
        <w:ind w:firstLine="643" w:firstLineChars="200"/>
        <w:rPr>
          <w:rFonts w:hint="eastAsia" w:ascii="楷体_GB2312" w:hAnsi="楷体" w:eastAsia="楷体_GB2312" w:cs="仿宋_GB2312"/>
          <w:b/>
          <w:sz w:val="32"/>
          <w:szCs w:val="32"/>
          <w:lang w:val="zh-CN" w:eastAsia="zh-CN"/>
        </w:rPr>
      </w:pPr>
      <w:r>
        <w:rPr>
          <w:rFonts w:hint="eastAsia" w:ascii="楷体_GB2312" w:hAnsi="楷体" w:eastAsia="楷体_GB2312" w:cs="仿宋_GB2312"/>
          <w:b/>
          <w:sz w:val="32"/>
          <w:szCs w:val="32"/>
          <w:lang w:val="zh-CN" w:eastAsia="zh-CN"/>
        </w:rPr>
        <w:t>（</w:t>
      </w:r>
      <w:r>
        <w:rPr>
          <w:rFonts w:hint="eastAsia" w:ascii="楷体_GB2312" w:hAnsi="楷体" w:eastAsia="楷体_GB2312" w:cs="仿宋_GB2312"/>
          <w:b/>
          <w:sz w:val="32"/>
          <w:szCs w:val="32"/>
          <w:lang w:val="en-US" w:eastAsia="zh-CN"/>
        </w:rPr>
        <w:t>三</w:t>
      </w:r>
      <w:r>
        <w:rPr>
          <w:rFonts w:hint="eastAsia" w:ascii="楷体_GB2312" w:hAnsi="楷体" w:eastAsia="楷体_GB2312" w:cs="仿宋_GB2312"/>
          <w:b/>
          <w:sz w:val="32"/>
          <w:szCs w:val="32"/>
          <w:lang w:val="zh-CN" w:eastAsia="zh-CN"/>
        </w:rPr>
        <w:t>）阴离子合成洗涤剂 </w:t>
      </w:r>
    </w:p>
    <w:p>
      <w:pPr>
        <w:pStyle w:val="9"/>
        <w:shd w:val="clear" w:color="auto" w:fill="FFFFFF"/>
        <w:spacing w:before="0" w:beforeAutospacing="0" w:after="0" w:afterAutospacing="0" w:line="560" w:lineRule="exact"/>
        <w:ind w:firstLine="640" w:firstLineChars="200"/>
        <w:jc w:val="both"/>
        <w:rPr>
          <w:rFonts w:hint="eastAsia" w:ascii="仿宋_GB2312" w:hAnsi="仿宋" w:eastAsia="仿宋_GB2312" w:cs="仿宋"/>
          <w:color w:val="auto"/>
          <w:kern w:val="2"/>
          <w:sz w:val="32"/>
          <w:szCs w:val="32"/>
          <w:lang w:val="en-US" w:eastAsia="zh-CN" w:bidi="ar-SA"/>
        </w:rPr>
      </w:pPr>
      <w:r>
        <w:rPr>
          <w:rFonts w:hint="eastAsia" w:ascii="仿宋_GB2312" w:hAnsi="仿宋" w:eastAsia="仿宋_GB2312" w:cs="仿宋"/>
          <w:color w:val="auto"/>
          <w:kern w:val="2"/>
          <w:sz w:val="32"/>
          <w:szCs w:val="32"/>
          <w:lang w:val="en-US" w:eastAsia="zh-CN" w:bidi="ar-SA"/>
        </w:rPr>
        <w:t>阴离子合成洗涤剂，即我们日常生活中经常用到的洗衣粉、洗洁精、洗衣液、肥皂等洗涤剂的主要成分，其主要成分十二烷基磺酸钠，是一种低毒物质,因其使用方便、易溶解、稳定性好、成本低等优点,在消毒企业中广泛使用。</w:t>
      </w:r>
      <w:r>
        <w:rPr>
          <w:rFonts w:hint="eastAsia" w:ascii="仿宋_GB2312" w:hAnsi="仿宋" w:eastAsia="仿宋_GB2312" w:cs="仿宋"/>
          <w:color w:val="auto"/>
          <w:kern w:val="2"/>
          <w:sz w:val="32"/>
          <w:szCs w:val="32"/>
          <w:lang w:val="zh-CN" w:eastAsia="zh-CN" w:bidi="ar-SA"/>
        </w:rPr>
        <w:t>食品安全国家标准 消毒餐（饮）具》（GB 14934</w:t>
      </w:r>
      <w:r>
        <w:rPr>
          <w:rFonts w:hint="eastAsia" w:ascii="仿宋_GB2312" w:hAnsi="仿宋" w:eastAsia="仿宋_GB2312" w:cs="仿宋"/>
          <w:color w:val="auto"/>
          <w:kern w:val="2"/>
          <w:sz w:val="32"/>
          <w:szCs w:val="32"/>
          <w:lang w:val="en-US" w:eastAsia="zh-CN" w:bidi="ar-SA"/>
        </w:rPr>
        <w:t>-</w:t>
      </w:r>
      <w:r>
        <w:rPr>
          <w:rFonts w:hint="eastAsia" w:ascii="仿宋_GB2312" w:hAnsi="仿宋" w:eastAsia="仿宋_GB2312" w:cs="仿宋"/>
          <w:color w:val="auto"/>
          <w:kern w:val="2"/>
          <w:sz w:val="32"/>
          <w:szCs w:val="32"/>
          <w:lang w:val="zh-CN" w:eastAsia="zh-CN" w:bidi="ar-SA"/>
        </w:rPr>
        <w:t>2016）中规定，消毒餐（饮）具中不得检出</w:t>
      </w:r>
      <w:r>
        <w:rPr>
          <w:rFonts w:hint="eastAsia" w:ascii="仿宋_GB2312" w:hAnsi="仿宋" w:eastAsia="仿宋_GB2312" w:cs="仿宋"/>
          <w:color w:val="auto"/>
          <w:kern w:val="2"/>
          <w:sz w:val="32"/>
          <w:szCs w:val="32"/>
          <w:lang w:val="en-US" w:eastAsia="zh-CN" w:bidi="ar-SA"/>
        </w:rPr>
        <w:t>阴离子合成洗涤剂(以十二烷基苯磺酸钠计)</w:t>
      </w:r>
      <w:r>
        <w:rPr>
          <w:rFonts w:hint="eastAsia" w:ascii="仿宋_GB2312" w:hAnsi="仿宋" w:eastAsia="仿宋_GB2312" w:cs="仿宋"/>
          <w:color w:val="auto"/>
          <w:kern w:val="2"/>
          <w:sz w:val="32"/>
          <w:szCs w:val="32"/>
          <w:lang w:val="zh-CN" w:eastAsia="zh-CN" w:bidi="ar-SA"/>
        </w:rPr>
        <w:t>。</w:t>
      </w:r>
      <w:r>
        <w:rPr>
          <w:rFonts w:hint="eastAsia" w:ascii="仿宋_GB2312" w:hAnsi="仿宋" w:eastAsia="仿宋_GB2312" w:cs="华文中宋"/>
          <w:color w:val="auto"/>
          <w:kern w:val="2"/>
          <w:sz w:val="32"/>
          <w:szCs w:val="32"/>
          <w:lang w:val="en-US" w:eastAsia="zh-CN" w:bidi="ar-SA"/>
        </w:rPr>
        <w:t>部分餐饮从业人员卫生意识不强，用洗涤剂浸泡餐（饮）具后，未用清水冲刷或者冲刷时间较短易导致洗涤剂残留。长期使用十二烷基苯磺酸钠超</w:t>
      </w:r>
      <w:r>
        <w:rPr>
          <w:rFonts w:hint="eastAsia" w:ascii="仿宋_GB2312" w:hAnsi="仿宋" w:eastAsia="仿宋_GB2312" w:cs="仿宋"/>
          <w:color w:val="auto"/>
          <w:kern w:val="2"/>
          <w:sz w:val="32"/>
          <w:szCs w:val="32"/>
          <w:lang w:val="en-US" w:eastAsia="zh-CN" w:bidi="ar-SA"/>
        </w:rPr>
        <w:t>标的餐（饮）具，可能容易引起呼吸系统过敏性反应。</w:t>
      </w:r>
    </w:p>
    <w:p>
      <w:pPr>
        <w:spacing w:line="560" w:lineRule="exact"/>
        <w:ind w:firstLine="643"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四</w:t>
      </w:r>
      <w:r>
        <w:rPr>
          <w:rFonts w:hint="eastAsia" w:ascii="方正楷体_GB2312" w:hAnsi="方正楷体_GB2312" w:eastAsia="方正楷体_GB2312" w:cs="方正楷体_GB2312"/>
          <w:b/>
          <w:sz w:val="32"/>
          <w:szCs w:val="32"/>
          <w:lang w:val="zh-CN" w:eastAsia="zh-CN"/>
        </w:rPr>
        <w:t>）过氧化值</w:t>
      </w:r>
    </w:p>
    <w:p>
      <w:pPr>
        <w:spacing w:line="560" w:lineRule="exact"/>
        <w:ind w:firstLine="640" w:firstLineChars="200"/>
        <w:rPr>
          <w:rFonts w:hint="eastAsia" w:ascii="仿宋_GB2312" w:hAnsi="仿宋" w:eastAsia="仿宋_GB2312" w:cs="仿宋"/>
          <w:color w:val="auto"/>
          <w:kern w:val="2"/>
          <w:sz w:val="32"/>
          <w:szCs w:val="32"/>
          <w:lang w:val="en-US" w:eastAsia="zh-CN" w:bidi="ar-SA"/>
        </w:rPr>
      </w:pPr>
      <w:r>
        <w:rPr>
          <w:rFonts w:hint="eastAsia" w:ascii="仿宋_GB2312" w:hAnsi="仿宋" w:eastAsia="仿宋_GB2312" w:cs="仿宋"/>
          <w:color w:val="auto"/>
          <w:kern w:val="2"/>
          <w:sz w:val="32"/>
          <w:szCs w:val="32"/>
          <w:lang w:val="en-US" w:eastAsia="zh-CN" w:bidi="ar-SA"/>
        </w:rPr>
        <w:t>过氧化值主要反映食品中油脂是否氧化变质。随着油脂被氧化，过氧化值会逐步升高。《食品安全国家标准 腌腊肉制品》（GB 2730-2015）中规定，火腿、腊肉、咸肉、香（腊）肠的过氧化值(以脂肪计)应≤0.5g/100g。食用过氧化值过高的食品可能会导致肠胃不适、腹泻等症状。</w:t>
      </w:r>
    </w:p>
    <w:p>
      <w:pPr>
        <w:spacing w:line="560" w:lineRule="exact"/>
        <w:ind w:firstLine="643" w:firstLineChars="200"/>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五</w:t>
      </w:r>
      <w:r>
        <w:rPr>
          <w:rFonts w:hint="eastAsia" w:ascii="方正楷体_GB2312" w:hAnsi="方正楷体_GB2312" w:eastAsia="方正楷体_GB2312" w:cs="方正楷体_GB2312"/>
          <w:b/>
          <w:bCs w:val="0"/>
          <w:sz w:val="32"/>
          <w:szCs w:val="32"/>
          <w:lang w:val="zh-CN" w:eastAsia="zh-CN"/>
        </w:rPr>
        <w:t>）菌落总数</w:t>
      </w:r>
    </w:p>
    <w:p>
      <w:pPr>
        <w:spacing w:line="560" w:lineRule="exact"/>
        <w:ind w:firstLine="640" w:firstLineChars="200"/>
        <w:rPr>
          <w:rFonts w:hint="eastAsia" w:ascii="仿宋_GB2312" w:hAnsi="仿宋" w:eastAsia="仿宋_GB2312" w:cs="华文中宋"/>
          <w:color w:val="auto"/>
          <w:kern w:val="2"/>
          <w:sz w:val="32"/>
          <w:szCs w:val="32"/>
          <w:lang w:val="en-US" w:eastAsia="zh-CN" w:bidi="ar-SA"/>
        </w:rPr>
      </w:pPr>
      <w:r>
        <w:rPr>
          <w:rFonts w:hint="eastAsia" w:ascii="仿宋_GB2312" w:hAnsi="仿宋" w:eastAsia="仿宋_GB2312" w:cs="华文中宋"/>
          <w:color w:val="auto"/>
          <w:kern w:val="2"/>
          <w:sz w:val="32"/>
          <w:szCs w:val="32"/>
          <w:lang w:val="en-US" w:eastAsia="zh-CN" w:bidi="ar-SA"/>
        </w:rPr>
        <w:t>菌落总数是指示性微生物指标，并非致病菌指标，主要用来评价食品清洁度，反映食品在生产过程中是否符合卫生要求，一定程度上标志着食品卫生质量的优劣。《广东省食品安全地方标准 非预包装即食食品微生物限量》（DBS 44</w:t>
      </w:r>
      <w:r>
        <w:rPr>
          <w:rFonts w:hint="eastAsia" w:ascii="仿宋_GB2312" w:hAnsi="仿宋" w:cs="华文中宋"/>
          <w:color w:val="auto"/>
          <w:kern w:val="2"/>
          <w:sz w:val="32"/>
          <w:szCs w:val="32"/>
          <w:lang w:val="en-US" w:eastAsia="zh-CN" w:bidi="ar-SA"/>
        </w:rPr>
        <w:t>/006</w:t>
      </w:r>
      <w:r>
        <w:rPr>
          <w:rFonts w:hint="eastAsia" w:ascii="仿宋_GB2312" w:hAnsi="仿宋" w:eastAsia="仿宋_GB2312" w:cs="华文中宋"/>
          <w:color w:val="auto"/>
          <w:kern w:val="2"/>
          <w:sz w:val="32"/>
          <w:szCs w:val="32"/>
          <w:lang w:val="en-US" w:eastAsia="zh-CN" w:bidi="ar-SA"/>
        </w:rPr>
        <w:t>-2016）中规定，菌落总数＜10</w:t>
      </w:r>
      <w:r>
        <w:rPr>
          <w:rFonts w:hint="eastAsia" w:ascii="仿宋_GB2312" w:hAnsi="仿宋" w:eastAsia="仿宋_GB2312" w:cs="华文中宋"/>
          <w:color w:val="auto"/>
          <w:kern w:val="2"/>
          <w:sz w:val="32"/>
          <w:szCs w:val="32"/>
          <w:vertAlign w:val="superscript"/>
          <w:lang w:val="en-US" w:eastAsia="zh-CN" w:bidi="ar-SA"/>
        </w:rPr>
        <w:t>4</w:t>
      </w:r>
      <w:r>
        <w:rPr>
          <w:rFonts w:hint="eastAsia" w:ascii="仿宋_GB2312" w:hAnsi="仿宋" w:eastAsia="仿宋_GB2312" w:cs="华文中宋"/>
          <w:color w:val="auto"/>
          <w:kern w:val="2"/>
          <w:sz w:val="32"/>
          <w:szCs w:val="32"/>
          <w:lang w:val="en-US" w:eastAsia="zh-CN" w:bidi="ar-SA"/>
        </w:rPr>
        <w:t xml:space="preserve"> CFU/g为满意，10</w:t>
      </w:r>
      <w:r>
        <w:rPr>
          <w:rFonts w:hint="eastAsia" w:ascii="仿宋_GB2312" w:hAnsi="仿宋" w:eastAsia="仿宋_GB2312" w:cs="华文中宋"/>
          <w:color w:val="auto"/>
          <w:kern w:val="2"/>
          <w:sz w:val="32"/>
          <w:szCs w:val="32"/>
          <w:vertAlign w:val="superscript"/>
          <w:lang w:val="en-US" w:eastAsia="zh-CN" w:bidi="ar-SA"/>
        </w:rPr>
        <w:t>4</w:t>
      </w:r>
      <w:r>
        <w:rPr>
          <w:rFonts w:hint="eastAsia" w:ascii="仿宋_GB2312" w:hAnsi="仿宋" w:eastAsia="仿宋_GB2312" w:cs="华文中宋"/>
          <w:color w:val="auto"/>
          <w:kern w:val="2"/>
          <w:sz w:val="32"/>
          <w:szCs w:val="32"/>
          <w:lang w:val="en-US" w:eastAsia="zh-CN" w:bidi="ar-SA"/>
        </w:rPr>
        <w:t xml:space="preserve"> -＜10</w:t>
      </w:r>
      <w:r>
        <w:rPr>
          <w:rFonts w:hint="eastAsia" w:ascii="仿宋_GB2312" w:hAnsi="仿宋" w:eastAsia="仿宋_GB2312" w:cs="华文中宋"/>
          <w:color w:val="auto"/>
          <w:kern w:val="2"/>
          <w:sz w:val="32"/>
          <w:szCs w:val="32"/>
          <w:vertAlign w:val="superscript"/>
          <w:lang w:val="en-US" w:eastAsia="zh-CN" w:bidi="ar-SA"/>
        </w:rPr>
        <w:t>5</w:t>
      </w:r>
      <w:r>
        <w:rPr>
          <w:rFonts w:hint="eastAsia" w:ascii="仿宋_GB2312" w:hAnsi="仿宋" w:eastAsia="仿宋_GB2312" w:cs="华文中宋"/>
          <w:color w:val="auto"/>
          <w:kern w:val="2"/>
          <w:sz w:val="32"/>
          <w:szCs w:val="32"/>
          <w:lang w:val="en-US" w:eastAsia="zh-CN" w:bidi="ar-SA"/>
        </w:rPr>
        <w:t>CFU/g为可接受，≥10</w:t>
      </w:r>
      <w:r>
        <w:rPr>
          <w:rFonts w:hint="eastAsia" w:ascii="仿宋_GB2312" w:hAnsi="仿宋" w:eastAsia="仿宋_GB2312" w:cs="华文中宋"/>
          <w:color w:val="auto"/>
          <w:kern w:val="2"/>
          <w:sz w:val="32"/>
          <w:szCs w:val="32"/>
          <w:vertAlign w:val="superscript"/>
          <w:lang w:val="en-US" w:eastAsia="zh-CN" w:bidi="ar-SA"/>
        </w:rPr>
        <w:t>5</w:t>
      </w:r>
      <w:r>
        <w:rPr>
          <w:rFonts w:hint="eastAsia" w:ascii="仿宋_GB2312" w:hAnsi="仿宋" w:eastAsia="仿宋_GB2312" w:cs="华文中宋"/>
          <w:color w:val="auto"/>
          <w:kern w:val="2"/>
          <w:sz w:val="32"/>
          <w:szCs w:val="32"/>
          <w:lang w:val="en-US" w:eastAsia="zh-CN" w:bidi="ar-SA"/>
        </w:rPr>
        <w:t>CFU/g为不合格。食品的菌落总数超标，说明其产品的卫生状况达不到基本的卫生要求，将会破坏食品的营养成分，加速食品的腐败变质，使食品失去食用价值。消费者食用菌落总数超标严重的食品，容易患痢疾等肠道疾病，会引起呕吐、腹泻等症状。</w:t>
      </w:r>
    </w:p>
    <w:p>
      <w:pPr>
        <w:spacing w:line="560" w:lineRule="exact"/>
        <w:ind w:firstLine="643" w:firstLineChars="200"/>
        <w:rPr>
          <w:rFonts w:hint="default"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（六）苯甲酸及其钠盐</w:t>
      </w:r>
    </w:p>
    <w:p>
      <w:pPr>
        <w:pStyle w:val="2"/>
        <w:keepNext/>
        <w:keepLines/>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hint="eastAsia" w:ascii="仿宋_GB2312" w:hAnsi="仿宋" w:eastAsia="仿宋_GB2312" w:cs="华文中宋"/>
          <w:b w:val="0"/>
          <w:color w:val="auto"/>
          <w:kern w:val="2"/>
          <w:sz w:val="32"/>
          <w:szCs w:val="32"/>
          <w:lang w:val="en-US" w:eastAsia="zh-CN" w:bidi="ar-SA"/>
        </w:rPr>
      </w:pPr>
      <w:r>
        <w:rPr>
          <w:rFonts w:hint="eastAsia" w:ascii="仿宋_GB2312" w:hAnsi="仿宋" w:eastAsia="仿宋_GB2312" w:cs="华文中宋"/>
          <w:b w:val="0"/>
          <w:color w:val="auto"/>
          <w:kern w:val="2"/>
          <w:sz w:val="32"/>
          <w:szCs w:val="32"/>
          <w:lang w:val="en-US" w:eastAsia="zh-CN" w:bidi="ar-SA"/>
        </w:rPr>
        <w:t>苯甲酸及其钠盐是食品工业中常见的防腐保鲜剂，对霉菌、酵母和细菌有较好的抑制作用。《食品安全国家标准</w:t>
      </w:r>
      <w:r>
        <w:rPr>
          <w:rFonts w:hint="eastAsia" w:ascii="仿宋_GB2312" w:hAnsi="仿宋" w:cs="华文中宋"/>
          <w:b w:val="0"/>
          <w:color w:val="auto"/>
          <w:kern w:val="2"/>
          <w:sz w:val="32"/>
          <w:szCs w:val="32"/>
          <w:lang w:val="en-US" w:eastAsia="zh-CN" w:bidi="ar-SA"/>
        </w:rPr>
        <w:t xml:space="preserve"> </w:t>
      </w:r>
      <w:r>
        <w:rPr>
          <w:rFonts w:hint="eastAsia" w:ascii="仿宋_GB2312" w:hAnsi="仿宋" w:eastAsia="仿宋_GB2312" w:cs="华文中宋"/>
          <w:b w:val="0"/>
          <w:color w:val="auto"/>
          <w:kern w:val="2"/>
          <w:sz w:val="32"/>
          <w:szCs w:val="32"/>
          <w:lang w:val="en-US" w:eastAsia="zh-CN" w:bidi="ar-SA"/>
        </w:rPr>
        <w:t>食品添加剂使用标准》（GB2760-2014）中规定，腌渍的蔬菜中苯甲酸及其钠盐（以苯甲酸计）</w:t>
      </w:r>
      <w:r>
        <w:rPr>
          <w:rFonts w:hint="eastAsia" w:ascii="仿宋_GB2312" w:hAnsi="仿宋" w:cs="华文中宋"/>
          <w:b w:val="0"/>
          <w:color w:val="auto"/>
          <w:kern w:val="2"/>
          <w:sz w:val="32"/>
          <w:szCs w:val="32"/>
          <w:lang w:val="en-US" w:eastAsia="zh-CN" w:bidi="ar-SA"/>
        </w:rPr>
        <w:t>应</w:t>
      </w:r>
      <w:r>
        <w:rPr>
          <w:rFonts w:hint="eastAsia" w:ascii="仿宋_GB2312" w:hAnsi="仿宋" w:eastAsia="仿宋_GB2312" w:cs="仿宋"/>
          <w:color w:val="auto"/>
          <w:kern w:val="2"/>
          <w:sz w:val="32"/>
          <w:szCs w:val="32"/>
          <w:lang w:val="en-US" w:eastAsia="zh-CN" w:bidi="ar-SA"/>
        </w:rPr>
        <w:t>≤</w:t>
      </w:r>
      <w:r>
        <w:rPr>
          <w:rFonts w:hint="eastAsia" w:ascii="仿宋_GB2312" w:hAnsi="仿宋" w:eastAsia="仿宋_GB2312" w:cs="华文中宋"/>
          <w:b w:val="0"/>
          <w:color w:val="auto"/>
          <w:kern w:val="2"/>
          <w:sz w:val="32"/>
          <w:szCs w:val="32"/>
          <w:lang w:val="en-US" w:eastAsia="zh-CN" w:bidi="ar-SA"/>
        </w:rPr>
        <w:t>1.0g/kg</w:t>
      </w:r>
      <w:r>
        <w:rPr>
          <w:rFonts w:hint="eastAsia" w:ascii="仿宋_GB2312" w:hAnsi="仿宋" w:cs="华文中宋"/>
          <w:b w:val="0"/>
          <w:color w:val="auto"/>
          <w:kern w:val="2"/>
          <w:sz w:val="32"/>
          <w:szCs w:val="32"/>
          <w:lang w:val="en-US" w:eastAsia="zh-CN" w:bidi="ar-SA"/>
        </w:rPr>
        <w:t>；葡萄酒中不得使用</w:t>
      </w:r>
      <w:r>
        <w:rPr>
          <w:rFonts w:hint="eastAsia" w:ascii="仿宋_GB2312" w:hAnsi="仿宋" w:eastAsia="仿宋_GB2312" w:cs="华文中宋"/>
          <w:b w:val="0"/>
          <w:color w:val="auto"/>
          <w:kern w:val="2"/>
          <w:sz w:val="32"/>
          <w:szCs w:val="32"/>
          <w:lang w:val="en-US" w:eastAsia="zh-CN" w:bidi="ar-SA"/>
        </w:rPr>
        <w:t>苯甲酸及其钠盐（以苯甲酸计）</w:t>
      </w:r>
      <w:r>
        <w:rPr>
          <w:rFonts w:hint="eastAsia" w:ascii="仿宋_GB2312" w:hAnsi="仿宋" w:cs="华文中宋"/>
          <w:b w:val="0"/>
          <w:color w:val="auto"/>
          <w:kern w:val="2"/>
          <w:sz w:val="32"/>
          <w:szCs w:val="32"/>
          <w:lang w:val="en-US" w:eastAsia="zh-CN" w:bidi="ar-SA"/>
        </w:rPr>
        <w:t>。</w:t>
      </w:r>
      <w:r>
        <w:rPr>
          <w:rFonts w:hint="eastAsia" w:ascii="仿宋_GB2312" w:hAnsi="仿宋" w:eastAsia="仿宋_GB2312" w:cs="华文中宋"/>
          <w:b w:val="0"/>
          <w:color w:val="auto"/>
          <w:kern w:val="2"/>
          <w:sz w:val="32"/>
          <w:szCs w:val="32"/>
          <w:lang w:val="en-US" w:eastAsia="zh-CN" w:bidi="ar-SA"/>
        </w:rPr>
        <w:t>苯甲酸及其钠盐的</w:t>
      </w:r>
      <w:r>
        <w:rPr>
          <w:rFonts w:hint="eastAsia" w:ascii="仿宋_GB2312" w:hAnsi="仿宋" w:eastAsia="仿宋_GB2312" w:cs="华文中宋"/>
          <w:b w:val="0"/>
          <w:color w:val="auto"/>
          <w:kern w:val="2"/>
          <w:sz w:val="32"/>
          <w:szCs w:val="32"/>
          <w:lang w:val="en-US" w:eastAsia="zh-CN" w:bidi="ar-SA"/>
        </w:rPr>
        <w:t>安全性较高，少量苯甲酸对人体无毒害，可随尿液排出体外，在人体内不会蓄积，但若长期过量食入苯甲酸超标的食品可能会对肝脏功能产生一定影响。</w:t>
      </w:r>
    </w:p>
    <w:p>
      <w:pPr>
        <w:spacing w:line="560" w:lineRule="exact"/>
        <w:ind w:firstLine="643" w:firstLineChars="200"/>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（七）标签</w:t>
      </w:r>
    </w:p>
    <w:p>
      <w:pPr>
        <w:spacing w:line="560" w:lineRule="exact"/>
        <w:ind w:firstLine="640" w:firstLineChars="200"/>
        <w:outlineLvl w:val="0"/>
        <w:rPr>
          <w:rFonts w:ascii="仿宋_GB2312" w:hAnsi="仿宋" w:eastAsia="仿宋_GB2312"/>
          <w:sz w:val="32"/>
          <w:szCs w:val="32"/>
        </w:rPr>
      </w:pPr>
      <w:r>
        <w:rPr>
          <w:rFonts w:ascii="仿宋_GB2312" w:hAnsi="仿宋" w:eastAsia="仿宋_GB2312"/>
          <w:sz w:val="32"/>
          <w:szCs w:val="32"/>
        </w:rPr>
        <w:t>食品标签是指</w:t>
      </w:r>
      <w:r>
        <w:rPr>
          <w:rFonts w:hint="eastAsia" w:ascii="仿宋_GB2312" w:hAnsi="仿宋" w:eastAsia="仿宋_GB2312"/>
          <w:sz w:val="32"/>
          <w:szCs w:val="32"/>
        </w:rPr>
        <w:t>食品包装</w:t>
      </w:r>
      <w:r>
        <w:rPr>
          <w:rFonts w:ascii="仿宋_GB2312" w:hAnsi="仿宋" w:eastAsia="仿宋_GB2312"/>
          <w:sz w:val="32"/>
          <w:szCs w:val="32"/>
        </w:rPr>
        <w:t>上的文字</w:t>
      </w:r>
      <w:r>
        <w:rPr>
          <w:rFonts w:hint="eastAsia" w:ascii="仿宋_GB2312" w:hAnsi="仿宋" w:eastAsia="仿宋_GB2312"/>
          <w:sz w:val="32"/>
          <w:szCs w:val="32"/>
        </w:rPr>
        <w:t>、</w:t>
      </w:r>
      <w:r>
        <w:rPr>
          <w:rFonts w:ascii="仿宋_GB2312" w:hAnsi="仿宋" w:eastAsia="仿宋_GB2312"/>
          <w:sz w:val="32"/>
          <w:szCs w:val="32"/>
        </w:rPr>
        <w:t>图形</w:t>
      </w:r>
      <w:r>
        <w:rPr>
          <w:rFonts w:hint="eastAsia" w:ascii="仿宋_GB2312" w:hAnsi="仿宋" w:eastAsia="仿宋_GB2312"/>
          <w:sz w:val="32"/>
          <w:szCs w:val="32"/>
        </w:rPr>
        <w:t>、</w:t>
      </w:r>
      <w:r>
        <w:rPr>
          <w:rFonts w:ascii="仿宋_GB2312" w:hAnsi="仿宋" w:eastAsia="仿宋_GB2312"/>
          <w:sz w:val="32"/>
          <w:szCs w:val="32"/>
        </w:rPr>
        <w:t>符号及一切说明物</w:t>
      </w:r>
      <w:r>
        <w:rPr>
          <w:rFonts w:hint="eastAsia" w:ascii="仿宋_GB2312" w:hAnsi="仿宋" w:eastAsia="仿宋_GB2312"/>
          <w:sz w:val="32"/>
          <w:szCs w:val="32"/>
        </w:rPr>
        <w:t>。食品标签是向消费者传递产品信息的载体。做好预包装食品标签管理，既是依法维护消费者权益，保障行业健康发展的有效手段，也是实现食品安全科学管理的需求。</w:t>
      </w:r>
      <w:r>
        <w:rPr>
          <w:rFonts w:ascii="仿宋_GB2312" w:hAnsi="仿宋" w:eastAsia="仿宋_GB2312"/>
          <w:sz w:val="32"/>
          <w:szCs w:val="32"/>
        </w:rPr>
        <w:t>食品标签的所有内容</w:t>
      </w:r>
      <w:r>
        <w:rPr>
          <w:rFonts w:hint="eastAsia" w:ascii="仿宋_GB2312" w:hAnsi="仿宋" w:eastAsia="仿宋_GB2312"/>
          <w:sz w:val="32"/>
          <w:szCs w:val="32"/>
        </w:rPr>
        <w:t>应符合法律、法规的规定</w:t>
      </w:r>
      <w:r>
        <w:rPr>
          <w:rFonts w:ascii="仿宋_GB2312" w:hAnsi="仿宋" w:eastAsia="仿宋_GB2312"/>
          <w:sz w:val="32"/>
          <w:szCs w:val="32"/>
        </w:rPr>
        <w:t>，</w:t>
      </w:r>
      <w:r>
        <w:rPr>
          <w:rFonts w:hint="eastAsia" w:ascii="仿宋_GB2312" w:hAnsi="仿宋" w:eastAsia="仿宋_GB2312"/>
          <w:sz w:val="32"/>
          <w:szCs w:val="32"/>
        </w:rPr>
        <w:t>并符合相应食品安全标准的规定；</w:t>
      </w:r>
      <w:r>
        <w:rPr>
          <w:rFonts w:ascii="仿宋_GB2312" w:hAnsi="仿宋" w:eastAsia="仿宋_GB2312"/>
          <w:sz w:val="32"/>
          <w:szCs w:val="32"/>
        </w:rPr>
        <w:t>必须通俗易懂、</w:t>
      </w:r>
      <w:r>
        <w:rPr>
          <w:rFonts w:hint="eastAsia" w:ascii="仿宋_GB2312" w:hAnsi="仿宋" w:eastAsia="仿宋_GB2312"/>
          <w:sz w:val="32"/>
          <w:szCs w:val="32"/>
        </w:rPr>
        <w:t>真实</w:t>
      </w:r>
      <w:r>
        <w:rPr>
          <w:rFonts w:ascii="仿宋_GB2312" w:hAnsi="仿宋" w:eastAsia="仿宋_GB2312"/>
          <w:sz w:val="32"/>
          <w:szCs w:val="32"/>
        </w:rPr>
        <w:t>准确、科学</w:t>
      </w:r>
      <w:r>
        <w:rPr>
          <w:rFonts w:hint="eastAsia" w:ascii="仿宋_GB2312" w:hAnsi="仿宋" w:eastAsia="仿宋_GB2312"/>
          <w:sz w:val="32"/>
          <w:szCs w:val="32"/>
        </w:rPr>
        <w:t>合理。</w:t>
      </w:r>
      <w:r>
        <w:rPr>
          <w:rFonts w:ascii="仿宋_GB2312" w:hAnsi="仿宋" w:eastAsia="仿宋_GB2312"/>
          <w:sz w:val="32"/>
          <w:szCs w:val="32"/>
        </w:rPr>
        <w:t>不</w:t>
      </w:r>
      <w:r>
        <w:rPr>
          <w:rFonts w:hint="eastAsia" w:ascii="仿宋_GB2312" w:hAnsi="仿宋" w:eastAsia="仿宋_GB2312"/>
          <w:sz w:val="32"/>
          <w:szCs w:val="32"/>
        </w:rPr>
        <w:t>应</w:t>
      </w:r>
      <w:r>
        <w:rPr>
          <w:rFonts w:ascii="仿宋_GB2312" w:hAnsi="仿宋" w:eastAsia="仿宋_GB2312"/>
          <w:sz w:val="32"/>
          <w:szCs w:val="32"/>
        </w:rPr>
        <w:t>以直接或</w:t>
      </w:r>
      <w:r>
        <w:rPr>
          <w:rFonts w:hint="eastAsia" w:ascii="仿宋_GB2312" w:hAnsi="仿宋" w:eastAsia="仿宋_GB2312"/>
          <w:sz w:val="32"/>
          <w:szCs w:val="32"/>
        </w:rPr>
        <w:t>以</w:t>
      </w:r>
      <w:r>
        <w:rPr>
          <w:rFonts w:ascii="仿宋_GB2312" w:hAnsi="仿宋" w:eastAsia="仿宋_GB2312"/>
          <w:sz w:val="32"/>
          <w:szCs w:val="32"/>
        </w:rPr>
        <w:t>暗示性的语言、图形、符号</w:t>
      </w:r>
      <w:r>
        <w:rPr>
          <w:rFonts w:hint="eastAsia" w:ascii="仿宋_GB2312" w:hAnsi="仿宋" w:eastAsia="仿宋_GB2312"/>
          <w:sz w:val="32"/>
          <w:szCs w:val="32"/>
        </w:rPr>
        <w:t>，</w:t>
      </w:r>
      <w:r>
        <w:rPr>
          <w:rFonts w:ascii="仿宋_GB2312" w:hAnsi="仿宋" w:eastAsia="仿宋_GB2312"/>
          <w:sz w:val="32"/>
          <w:szCs w:val="32"/>
        </w:rPr>
        <w:t>导致消费者将</w:t>
      </w:r>
      <w:r>
        <w:rPr>
          <w:rFonts w:hint="eastAsia" w:ascii="仿宋_GB2312" w:hAnsi="仿宋" w:eastAsia="仿宋_GB2312"/>
          <w:sz w:val="32"/>
          <w:szCs w:val="32"/>
        </w:rPr>
        <w:t>购买的</w:t>
      </w:r>
      <w:r>
        <w:rPr>
          <w:rFonts w:ascii="仿宋_GB2312" w:hAnsi="仿宋" w:eastAsia="仿宋_GB2312"/>
          <w:sz w:val="32"/>
          <w:szCs w:val="32"/>
        </w:rPr>
        <w:t>食品或食品的某一性质与另一食品混淆。也不</w:t>
      </w:r>
      <w:r>
        <w:rPr>
          <w:rFonts w:hint="eastAsia" w:ascii="仿宋_GB2312" w:hAnsi="仿宋" w:eastAsia="仿宋_GB2312"/>
          <w:sz w:val="32"/>
          <w:szCs w:val="32"/>
        </w:rPr>
        <w:t>应</w:t>
      </w:r>
      <w:r>
        <w:rPr>
          <w:rFonts w:ascii="仿宋_GB2312" w:hAnsi="仿宋" w:eastAsia="仿宋_GB2312"/>
          <w:sz w:val="32"/>
          <w:szCs w:val="32"/>
        </w:rPr>
        <w:t>以</w:t>
      </w:r>
      <w:r>
        <w:rPr>
          <w:rFonts w:hint="eastAsia" w:ascii="仿宋_GB2312" w:hAnsi="仿宋" w:eastAsia="仿宋_GB2312"/>
          <w:sz w:val="32"/>
          <w:szCs w:val="32"/>
        </w:rPr>
        <w:t>虚假夸大</w:t>
      </w:r>
      <w:r>
        <w:rPr>
          <w:rFonts w:ascii="仿宋_GB2312" w:hAnsi="仿宋" w:eastAsia="仿宋_GB2312"/>
          <w:sz w:val="32"/>
          <w:szCs w:val="32"/>
        </w:rPr>
        <w:t>的、引起误解的或欺骗性的方式描述或介绍食品</w:t>
      </w:r>
      <w:r>
        <w:rPr>
          <w:rFonts w:hint="eastAsia" w:ascii="仿宋_GB2312" w:hAnsi="仿宋" w:eastAsia="仿宋_GB2312"/>
          <w:sz w:val="32"/>
          <w:szCs w:val="32"/>
        </w:rPr>
        <w:t>。</w:t>
      </w:r>
    </w:p>
    <w:p>
      <w:pPr>
        <w:pageBreakBefore w:val="0"/>
        <w:kinsoku/>
        <w:wordWrap/>
        <w:overflowPunct/>
        <w:topLinePunct w:val="0"/>
        <w:autoSpaceDE/>
        <w:autoSpaceDN/>
        <w:bidi w:val="0"/>
        <w:adjustRightInd/>
        <w:snapToGrid/>
        <w:spacing w:line="560" w:lineRule="exact"/>
        <w:ind w:firstLine="640" w:firstLineChars="200"/>
        <w:textAlignment w:val="auto"/>
        <w:outlineLvl w:val="0"/>
        <w:rPr>
          <w:rFonts w:hint="eastAsia" w:ascii="仿宋_GB2312" w:hAnsi="仿宋" w:eastAsia="仿宋_GB2312"/>
          <w:sz w:val="32"/>
          <w:szCs w:val="32"/>
        </w:rPr>
      </w:pPr>
      <w:r>
        <w:rPr>
          <w:rFonts w:hint="eastAsia" w:ascii="仿宋_GB2312" w:hAnsi="仿宋" w:eastAsia="仿宋_GB2312"/>
          <w:color w:val="auto"/>
          <w:sz w:val="32"/>
          <w:szCs w:val="32"/>
        </w:rPr>
        <w:t>食品标签不合格，虽对人体并无直接的危害，但标签标识不规范、不合理，</w:t>
      </w:r>
      <w:r>
        <w:rPr>
          <w:rFonts w:ascii="仿宋_GB2312" w:hAnsi="仿宋" w:eastAsia="仿宋_GB2312"/>
          <w:color w:val="auto"/>
          <w:sz w:val="32"/>
          <w:szCs w:val="32"/>
        </w:rPr>
        <w:t>将直接影响消费者对商品的判断和了解</w:t>
      </w:r>
      <w:r>
        <w:rPr>
          <w:rFonts w:hint="eastAsia" w:ascii="仿宋_GB2312" w:hAnsi="仿宋" w:eastAsia="仿宋_GB2312"/>
          <w:color w:val="auto"/>
          <w:sz w:val="32"/>
          <w:szCs w:val="32"/>
        </w:rPr>
        <w:t>，有误</w:t>
      </w:r>
      <w:r>
        <w:rPr>
          <w:rFonts w:hint="eastAsia" w:ascii="仿宋_GB2312" w:hAnsi="仿宋" w:eastAsia="仿宋_GB2312"/>
          <w:sz w:val="32"/>
          <w:szCs w:val="32"/>
        </w:rPr>
        <w:t>导消费者的风险，导致消费者错误购买，损害消费者的合法权益。</w:t>
      </w:r>
    </w:p>
    <w:p>
      <w:pPr>
        <w:spacing w:line="560" w:lineRule="exact"/>
        <w:ind w:firstLine="643" w:firstLineChars="200"/>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（八）防腐剂混合使用时各自用量占其最大使用量的比例之和</w:t>
      </w:r>
    </w:p>
    <w:p>
      <w:pPr>
        <w:spacing w:line="560" w:lineRule="exact"/>
        <w:ind w:firstLine="640" w:firstLineChars="200"/>
        <w:rPr>
          <w:rFonts w:ascii="仿宋_GB2312" w:hAnsi="仿宋" w:eastAsia="仿宋_GB2312" w:cs="宋体"/>
          <w:color w:val="000000"/>
          <w:kern w:val="0"/>
          <w:sz w:val="32"/>
          <w:szCs w:val="32"/>
        </w:rPr>
      </w:pPr>
      <w:r>
        <w:rPr>
          <w:rFonts w:hint="eastAsia" w:ascii="仿宋_GB2312" w:hAnsi="仿宋" w:eastAsia="仿宋_GB2312"/>
          <w:sz w:val="32"/>
          <w:szCs w:val="32"/>
        </w:rPr>
        <w:t>防腐剂是以保持食品原有品质和营养价值为目的的食品添加剂，它能抑制微生物的生长繁殖，防止食品腐败变质从而延长保质期。《食品安全国家标准 食品添加剂使用标准》（GB 2760-2014）不仅规定了我国在食品中允许添加的某一添加剂的种类、使用量或残留量，而且规定了同一功能的食品添加剂（相同色泽着色剂、防腐剂、抗氧化剂）在混合使用时，各自用量占其最大使用量的比例之和不应超过1。我国允许使用的食品防腐剂为低毒、安全性较高的品种，但长期过量摄入可能会对人体健康造成一定的损害。</w:t>
      </w:r>
    </w:p>
    <w:p>
      <w:pPr>
        <w:spacing w:line="560" w:lineRule="exact"/>
        <w:ind w:firstLine="643" w:firstLineChars="200"/>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（九）还原糖分</w:t>
      </w:r>
    </w:p>
    <w:p>
      <w:pPr>
        <w:widowControl/>
        <w:jc w:val="left"/>
        <w:rPr>
          <w:rFonts w:ascii="仿宋_GB2312" w:hAnsi="仿宋" w:eastAsia="仿宋_GB2312" w:cs="宋体"/>
          <w:kern w:val="0"/>
          <w:sz w:val="32"/>
          <w:szCs w:val="32"/>
          <w:lang w:val="zh-CN"/>
        </w:rPr>
      </w:pPr>
      <w:r>
        <w:rPr>
          <w:rFonts w:hint="eastAsia" w:ascii="仿宋_GB2312" w:hAnsi="仿宋" w:eastAsia="仿宋_GB2312"/>
          <w:sz w:val="32"/>
          <w:szCs w:val="32"/>
        </w:rPr>
        <w:t>还原糖分是食糖的质量指标之一，反映了食糖中还原糖的含量。还原糖含量会影响食糖的口感、外观等。国家标准《绵白糖》（GB/T 1445-2018）中规定绵白糖的还原糖分要在（1.5～2.5）g/100g范围内。还原糖分指标过高，会导致食糖易吸潮滋生微生物而变质，不利于食糖的保存，而还原糖分过低会影响绵白糖的风味。</w:t>
      </w:r>
      <w:r>
        <w:rPr>
          <w:rFonts w:ascii="仿宋_GB2312" w:hAnsi="仿宋" w:eastAsia="仿宋_GB2312" w:cs="宋体"/>
          <w:kern w:val="0"/>
          <w:sz w:val="32"/>
          <w:szCs w:val="32"/>
          <w:lang w:val="zh-CN"/>
        </w:rPr>
        <w:t>造成还原糖分不合格的可能原因是，绵白糖生产过程中工艺控制不良，或用其他品种的食糖充当绵白糖。</w:t>
      </w:r>
    </w:p>
    <w:p>
      <w:pPr>
        <w:spacing w:line="560" w:lineRule="exact"/>
        <w:ind w:left="0" w:leftChars="0" w:firstLine="643" w:firstLineChars="200"/>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（十）极性组分</w:t>
      </w:r>
    </w:p>
    <w:p>
      <w:pPr>
        <w:shd w:val="clear" w:color="auto" w:fill="FDFDFD"/>
        <w:rPr>
          <w:rFonts w:ascii="仿宋_GB2312" w:hAnsi="仿宋" w:eastAsia="仿宋_GB2312" w:cs="宋体"/>
          <w:color w:val="000000"/>
          <w:kern w:val="0"/>
          <w:sz w:val="32"/>
          <w:szCs w:val="32"/>
        </w:rPr>
      </w:pPr>
      <w:r>
        <w:rPr>
          <w:rFonts w:hint="eastAsia" w:ascii="仿宋_GB2312" w:hAnsi="仿宋" w:eastAsia="仿宋_GB2312"/>
          <w:color w:val="000000"/>
          <w:sz w:val="32"/>
          <w:szCs w:val="32"/>
          <w:shd w:val="clear" w:color="auto" w:fill="FDFDFD"/>
        </w:rPr>
        <w:t>食用植物油经高温加热和反复使用后可发生—系列化学反应。在营养价值下降的同时还会产生某些毒性物质，如丙烯酰胺、多环芳烃、醛基和羰基物质等，这些物质的增加，可使油的物理极性增加，由此又将这些物质称为极性物质。</w:t>
      </w:r>
      <w:r>
        <w:rPr>
          <w:rFonts w:hint="eastAsia" w:ascii="仿宋_GB2312" w:hAnsi="仿宋" w:eastAsia="仿宋_GB2312" w:cs="宋体"/>
          <w:color w:val="000000"/>
          <w:kern w:val="0"/>
          <w:sz w:val="32"/>
          <w:szCs w:val="32"/>
        </w:rPr>
        <w:t>油的不饱和程度越高、油温越高、反复煎炸的次数越多、极性物质产生和增加的也就越多。《食品安全国家标准 植物油》（GB 2716-2018）中规定，植物油的极性组分应≤27 %。</w:t>
      </w:r>
      <w:r>
        <w:rPr>
          <w:rFonts w:hint="eastAsia" w:ascii="仿宋_GB2312" w:hAnsi="仿宋" w:eastAsia="仿宋_GB2312" w:cs="宋体"/>
          <w:kern w:val="0"/>
          <w:sz w:val="32"/>
          <w:szCs w:val="32"/>
        </w:rPr>
        <w:t>植物油中</w:t>
      </w:r>
      <w:r>
        <w:rPr>
          <w:rFonts w:hint="eastAsia" w:ascii="仿宋_GB2312" w:hAnsi="仿宋" w:eastAsia="仿宋_GB2312" w:cs="Tahoma"/>
          <w:sz w:val="32"/>
          <w:szCs w:val="32"/>
          <w:shd w:val="clear" w:color="auto" w:fill="FFFFFF"/>
        </w:rPr>
        <w:t>极性组分超标不仅影响油脂本身的品质和风味，还</w:t>
      </w:r>
      <w:bookmarkStart w:id="0" w:name="_GoBack"/>
      <w:r>
        <w:rPr>
          <w:rFonts w:hint="eastAsia" w:ascii="仿宋_GB2312" w:hAnsi="仿宋" w:cs="Tahoma"/>
          <w:color w:val="auto"/>
          <w:sz w:val="32"/>
          <w:szCs w:val="32"/>
          <w:shd w:val="clear" w:color="auto" w:fill="FFFFFF"/>
          <w:lang w:eastAsia="zh-CN"/>
        </w:rPr>
        <w:t>可能</w:t>
      </w:r>
      <w:bookmarkEnd w:id="0"/>
      <w:r>
        <w:rPr>
          <w:rFonts w:hint="eastAsia" w:ascii="仿宋_GB2312" w:hAnsi="仿宋" w:eastAsia="仿宋_GB2312" w:cs="Tahoma"/>
          <w:sz w:val="32"/>
          <w:szCs w:val="32"/>
          <w:shd w:val="clear" w:color="auto" w:fill="FFFFFF"/>
        </w:rPr>
        <w:t>对人体健康有害</w:t>
      </w:r>
      <w:r>
        <w:rPr>
          <w:rFonts w:hint="eastAsia" w:ascii="仿宋_GB2312" w:hAnsi="仿宋" w:eastAsia="仿宋_GB2312" w:cs="Tahoma"/>
          <w:color w:val="0000FF"/>
          <w:sz w:val="32"/>
          <w:szCs w:val="32"/>
          <w:shd w:val="clear" w:color="auto" w:fill="FFFFFF"/>
        </w:rPr>
        <w:t>。</w:t>
      </w:r>
    </w:p>
    <w:p>
      <w:pPr>
        <w:spacing w:line="560" w:lineRule="exact"/>
        <w:ind w:left="0" w:leftChars="0" w:firstLine="643" w:firstLineChars="200"/>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（十一）铝的残留量</w:t>
      </w:r>
    </w:p>
    <w:p>
      <w:pPr>
        <w:ind w:firstLine="640" w:firstLineChars="200"/>
        <w:rPr>
          <w:rFonts w:ascii="仿宋_GB2312" w:hAnsi="仿宋" w:eastAsia="仿宋_GB2312"/>
          <w:spacing w:val="-12"/>
          <w:sz w:val="32"/>
          <w:szCs w:val="32"/>
        </w:rPr>
      </w:pPr>
      <w:r>
        <w:rPr>
          <w:rFonts w:hint="eastAsia" w:ascii="仿宋_GB2312" w:hAnsi="仿宋" w:eastAsia="仿宋_GB2312" w:cs="仿宋_GB2312"/>
          <w:sz w:val="32"/>
          <w:szCs w:val="32"/>
        </w:rPr>
        <w:t>铝作为食品添加剂硫酸铝钾/硫酸铝铵的重要成分，经常会添加在食物中作为膨松剂或稳定剂。</w:t>
      </w:r>
      <w:r>
        <w:rPr>
          <w:rFonts w:hint="eastAsia" w:ascii="仿宋_GB2312" w:hAnsi="仿宋" w:eastAsia="仿宋_GB2312"/>
          <w:sz w:val="32"/>
          <w:szCs w:val="32"/>
        </w:rPr>
        <w:t>《食品安全国家标准 食品添加剂使用标准》（GB 2760-2014）中规定，</w:t>
      </w:r>
      <w:r>
        <w:rPr>
          <w:rFonts w:hint="eastAsia" w:ascii="仿宋_GB2312" w:hAnsi="仿宋" w:cs="仿宋_GB2312"/>
          <w:sz w:val="32"/>
          <w:szCs w:val="32"/>
          <w:lang w:val="en-US" w:eastAsia="zh-CN"/>
        </w:rPr>
        <w:t>油炸面制品中铝的残留量应</w:t>
      </w:r>
      <w:r>
        <w:rPr>
          <w:rFonts w:hint="eastAsia" w:ascii="仿宋_GB2312" w:hAnsi="仿宋" w:eastAsia="仿宋_GB2312" w:cs="仿宋_GB2312"/>
          <w:sz w:val="32"/>
          <w:szCs w:val="32"/>
        </w:rPr>
        <w:t>≤</w:t>
      </w:r>
      <w:r>
        <w:rPr>
          <w:rFonts w:hint="eastAsia" w:ascii="仿宋_GB2312" w:hAnsi="仿宋" w:cs="仿宋_GB2312"/>
          <w:sz w:val="32"/>
          <w:szCs w:val="32"/>
          <w:lang w:val="en-US" w:eastAsia="zh-CN"/>
        </w:rPr>
        <w:t>1</w:t>
      </w:r>
      <w:r>
        <w:rPr>
          <w:rFonts w:hint="eastAsia" w:ascii="仿宋_GB2312" w:hAnsi="仿宋" w:eastAsia="仿宋_GB2312" w:cs="仿宋_GB2312"/>
          <w:sz w:val="32"/>
          <w:szCs w:val="32"/>
        </w:rPr>
        <w:t>00mg/kg。</w:t>
      </w:r>
      <w:r>
        <w:rPr>
          <w:rFonts w:hint="eastAsia" w:ascii="仿宋_GB2312" w:hAnsi="仿宋" w:eastAsia="仿宋_GB2312" w:cs="仿宋_GB2312"/>
          <w:color w:val="auto"/>
          <w:sz w:val="32"/>
          <w:szCs w:val="32"/>
        </w:rPr>
        <w:t>铝有一定的慢性毒性，摄入铝超标的食品，在体内可造成铝的蓄积，轻者会使食欲减退，引起贫血，重者引起运动失调等健康危害</w:t>
      </w:r>
      <w:r>
        <w:rPr>
          <w:rFonts w:hint="eastAsia" w:ascii="仿宋_GB2312" w:hAnsi="仿宋" w:cs="仿宋_GB2312"/>
          <w:color w:val="auto"/>
          <w:sz w:val="32"/>
          <w:szCs w:val="32"/>
          <w:lang w:eastAsia="zh-CN"/>
        </w:rPr>
        <w:t>。</w:t>
      </w:r>
    </w:p>
    <w:p>
      <w:pPr>
        <w:spacing w:line="560" w:lineRule="exact"/>
        <w:ind w:firstLine="643" w:firstLineChars="200"/>
        <w:rPr>
          <w:rFonts w:ascii="楷体_GB2312" w:hAnsi="楷体" w:eastAsia="楷体_GB2312" w:cs="宋体"/>
          <w:b/>
          <w:color w:val="000000" w:themeColor="text1"/>
          <w:kern w:val="0"/>
          <w:sz w:val="32"/>
          <w:szCs w:val="32"/>
          <w14:textFill>
            <w14:solidFill>
              <w14:schemeClr w14:val="tx1"/>
            </w14:solidFill>
          </w14:textFill>
        </w:rPr>
      </w:pPr>
      <w:r>
        <w:rPr>
          <w:rFonts w:hint="eastAsia" w:ascii="方正楷体_GB2312" w:hAnsi="方正楷体_GB2312" w:eastAsia="方正楷体_GB2312" w:cs="方正楷体_GB2312"/>
          <w:b/>
          <w:bCs w:val="0"/>
          <w:sz w:val="32"/>
          <w:szCs w:val="32"/>
          <w:lang w:val="en-US" w:eastAsia="zh-CN"/>
        </w:rPr>
        <w:t>（十二）酸价</w:t>
      </w:r>
    </w:p>
    <w:p>
      <w:pPr>
        <w:pStyle w:val="9"/>
        <w:shd w:val="clear" w:color="auto" w:fill="FFFFFF"/>
        <w:spacing w:before="0" w:beforeAutospacing="0" w:after="0" w:afterAutospacing="0" w:line="560" w:lineRule="exact"/>
        <w:ind w:firstLine="640" w:firstLineChars="200"/>
        <w:jc w:val="both"/>
        <w:rPr>
          <w:rFonts w:hint="eastAsia" w:ascii="仿宋_GB2312" w:hAnsi="仿宋" w:eastAsia="仿宋_GB2312"/>
          <w:sz w:val="32"/>
          <w:szCs w:val="32"/>
        </w:rPr>
      </w:pPr>
      <w:r>
        <w:rPr>
          <w:rFonts w:hint="eastAsia" w:ascii="仿宋_GB2312" w:hAnsi="仿宋" w:eastAsia="仿宋_GB2312"/>
          <w:sz w:val="32"/>
          <w:szCs w:val="32"/>
        </w:rPr>
        <w:t>酸价主要反映食品中的油脂酸败程度。《食品安全国家标准 糕点、面包》GB 7099-2015中规定，糕点的酸价(以脂肪计)应≤5mg/g。酸价过高会导致食品有哈喇味，所产生的醛、酮、酸会破坏脂溶性维生素，会导致肠胃不适症状，特别是对抵抗能力较弱的老人、孕妇、小孩危害更明显。</w:t>
      </w:r>
    </w:p>
    <w:p>
      <w:pPr>
        <w:spacing w:line="560" w:lineRule="exact"/>
        <w:ind w:firstLine="643" w:firstLineChars="200"/>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（十三）脱氢乙酸及其钠盐</w:t>
      </w:r>
    </w:p>
    <w:p>
      <w:pPr>
        <w:pStyle w:val="9"/>
        <w:shd w:val="clear" w:color="auto" w:fill="FFFFFF"/>
        <w:spacing w:before="0" w:beforeAutospacing="0" w:after="0" w:afterAutospacing="0" w:line="560" w:lineRule="exact"/>
        <w:ind w:firstLine="640" w:firstLineChars="200"/>
        <w:jc w:val="both"/>
        <w:rPr>
          <w:rFonts w:hint="eastAsia" w:ascii="仿宋_GB2312" w:hAnsi="仿宋" w:eastAsia="仿宋_GB2312"/>
          <w:sz w:val="32"/>
          <w:szCs w:val="32"/>
        </w:rPr>
      </w:pPr>
      <w:r>
        <w:rPr>
          <w:rFonts w:hint="eastAsia" w:ascii="仿宋_GB2312" w:hAnsi="仿宋" w:eastAsia="仿宋_GB2312"/>
          <w:color w:val="auto"/>
          <w:sz w:val="32"/>
          <w:szCs w:val="32"/>
        </w:rPr>
        <w:t>脱氢乙酸及其钠盐因对霉菌具有较强的抑制作用而被广泛用作防腐剂使用。《食品安全国家标准 食品添加剂使用标准》（GB 2760-2014）中规定，</w:t>
      </w:r>
      <w:r>
        <w:rPr>
          <w:rFonts w:hint="eastAsia" w:ascii="仿宋_GB2312" w:hAnsi="仿宋" w:eastAsia="仿宋_GB2312"/>
          <w:color w:val="auto"/>
          <w:sz w:val="32"/>
          <w:szCs w:val="32"/>
          <w:lang w:val="en-US" w:eastAsia="zh-CN"/>
        </w:rPr>
        <w:t>糕点中</w:t>
      </w:r>
      <w:r>
        <w:rPr>
          <w:rFonts w:hint="eastAsia" w:ascii="仿宋_GB2312" w:hAnsi="仿宋" w:eastAsia="仿宋_GB2312"/>
          <w:color w:val="auto"/>
          <w:sz w:val="32"/>
          <w:szCs w:val="32"/>
        </w:rPr>
        <w:t>脱氢乙酸及其钠盐(以脱氢乙酸计)</w:t>
      </w:r>
      <w:r>
        <w:rPr>
          <w:rFonts w:hint="eastAsia" w:ascii="仿宋_GB2312" w:hAnsi="仿宋" w:eastAsia="仿宋_GB2312"/>
          <w:color w:val="auto"/>
          <w:sz w:val="32"/>
          <w:szCs w:val="32"/>
          <w:lang w:val="en-US" w:eastAsia="zh-CN"/>
        </w:rPr>
        <w:t>应≤0.5g/kg</w:t>
      </w:r>
      <w:r>
        <w:rPr>
          <w:rFonts w:hint="eastAsia" w:ascii="仿宋_GB2312" w:hAnsi="仿宋" w:eastAsia="仿宋_GB2312"/>
          <w:color w:val="auto"/>
          <w:sz w:val="32"/>
          <w:szCs w:val="32"/>
        </w:rPr>
        <w:t>。</w:t>
      </w:r>
      <w:r>
        <w:rPr>
          <w:rFonts w:hint="eastAsia" w:ascii="仿宋_GB2312" w:hAnsi="仿宋" w:eastAsia="仿宋_GB2312" w:cs="宋体"/>
          <w:color w:val="auto"/>
          <w:kern w:val="0"/>
          <w:sz w:val="32"/>
          <w:szCs w:val="32"/>
          <w:lang w:val="zh-CN"/>
        </w:rPr>
        <w:t>由于脱氢乙酸可与血浆中的白蛋白或组织中蛋白质的胺基结合，若长期过量食用脱氢乙酸含量超标的食品可能会引起肝、肾和中枢神经系统的损伤。</w:t>
      </w:r>
    </w:p>
    <w:p>
      <w:pPr>
        <w:ind w:firstLine="662"/>
        <w:rPr>
          <w:rFonts w:hint="default" w:ascii="楷体_GB2312" w:hAnsi="楷体_GB2312" w:eastAsia="楷体_GB2312" w:cs="楷体_GB2312"/>
          <w:b/>
          <w:bCs/>
          <w:kern w:val="0"/>
          <w:sz w:val="32"/>
          <w:szCs w:val="32"/>
          <w:lang w:val="en-US" w:eastAsia="zh-CN" w:bidi="ar-SA"/>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十四</w:t>
      </w:r>
      <w:r>
        <w:rPr>
          <w:rFonts w:hint="eastAsia" w:ascii="方正楷体_GB2312" w:hAnsi="方正楷体_GB2312" w:eastAsia="方正楷体_GB2312" w:cs="方正楷体_GB2312"/>
          <w:b/>
          <w:bCs w:val="0"/>
          <w:sz w:val="32"/>
          <w:szCs w:val="32"/>
          <w:lang w:val="zh-CN" w:eastAsia="zh-CN"/>
        </w:rPr>
        <w:t>）玉米赤霉烯酮</w:t>
      </w:r>
      <w:r>
        <w:rPr>
          <w:rFonts w:hint="eastAsia" w:ascii="方正楷体_GB2312" w:hAnsi="方正楷体_GB2312" w:eastAsia="方正楷体_GB2312" w:cs="方正楷体_GB2312"/>
          <w:b/>
          <w:bCs w:val="0"/>
          <w:sz w:val="32"/>
          <w:szCs w:val="32"/>
          <w:lang w:val="en-US" w:eastAsia="zh-CN"/>
        </w:rPr>
        <w:t xml:space="preserve">  </w:t>
      </w:r>
      <w:r>
        <w:rPr>
          <w:rFonts w:hint="eastAsia" w:ascii="楷体_GB2312" w:hAnsi="楷体_GB2312" w:eastAsia="楷体_GB2312" w:cs="楷体_GB2312"/>
          <w:b/>
          <w:bCs/>
          <w:kern w:val="0"/>
          <w:sz w:val="32"/>
          <w:szCs w:val="32"/>
          <w:lang w:val="en-US" w:eastAsia="zh-CN" w:bidi="ar-SA"/>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 w:eastAsia="仿宋_GB2312" w:cs="仿宋"/>
          <w:b/>
          <w:sz w:val="32"/>
          <w:szCs w:val="32"/>
          <w:shd w:val="clear" w:color="auto" w:fill="FFFFFF"/>
        </w:rPr>
      </w:pPr>
      <w:r>
        <w:rPr>
          <w:rFonts w:hint="eastAsia" w:ascii="仿宋_GB2312" w:hAnsi="仿宋" w:eastAsia="仿宋_GB2312" w:cs="宋体"/>
          <w:kern w:val="0"/>
          <w:sz w:val="32"/>
          <w:szCs w:val="32"/>
          <w:lang w:val="zh-CN" w:eastAsia="zh-CN" w:bidi="ar-SA"/>
        </w:rPr>
        <w:t>玉米赤霉烯酮又称F-2毒素，它首先从有赤霉病的玉米中分离得到，主要污染玉米、小麦、大米、大麦、小米和燕麦等谷物。《食品安全国家标准 食品中真菌毒素限量》（GB 2761</w:t>
      </w:r>
      <w:r>
        <w:rPr>
          <w:rFonts w:hint="eastAsia" w:ascii="仿宋_GB2312" w:hAnsi="仿宋" w:cs="宋体"/>
          <w:color w:val="0000FF"/>
          <w:kern w:val="0"/>
          <w:sz w:val="32"/>
          <w:szCs w:val="32"/>
          <w:lang w:val="en-US" w:eastAsia="zh-CN" w:bidi="ar-SA"/>
        </w:rPr>
        <w:t>-</w:t>
      </w:r>
      <w:r>
        <w:rPr>
          <w:rFonts w:hint="eastAsia" w:ascii="仿宋_GB2312" w:hAnsi="仿宋" w:eastAsia="仿宋_GB2312" w:cs="宋体"/>
          <w:kern w:val="0"/>
          <w:sz w:val="32"/>
          <w:szCs w:val="32"/>
          <w:lang w:val="zh-CN" w:eastAsia="zh-CN" w:bidi="ar-SA"/>
        </w:rPr>
        <w:t>2017）中规定，玉米粉中玉米赤霉烯酮应≤60μg/kg。玉米赤霉烯酮具有雌激素作用，食用被污染的食品可引起中枢神经系统的中毒症状，如恶心、发冷、头痛、神智抑郁和共济失调等。</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ascii="黑体" w:hAnsi="黑体" w:eastAsia="黑体" w:cs="仿宋_GB2312"/>
          <w:color w:val="auto"/>
          <w:sz w:val="32"/>
          <w:szCs w:val="32"/>
        </w:rPr>
        <w:t>二、建议</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707" w:firstLineChars="220"/>
        <w:textAlignment w:val="auto"/>
        <w:rPr>
          <w:rFonts w:ascii="楷体_GB2312" w:hAnsi="楷体" w:eastAsia="楷体_GB2312"/>
          <w:b/>
          <w:color w:val="auto"/>
          <w:sz w:val="32"/>
          <w:szCs w:val="32"/>
        </w:rPr>
      </w:pPr>
      <w:r>
        <w:rPr>
          <w:rFonts w:hint="eastAsia" w:ascii="楷体_GB2312" w:hAnsi="楷体" w:eastAsia="楷体_GB2312"/>
          <w:b/>
          <w:color w:val="auto"/>
          <w:sz w:val="32"/>
          <w:szCs w:val="32"/>
        </w:rPr>
        <w:t>（一）加强原辅料的把控</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 w:eastAsia="仿宋_GB2312"/>
          <w:color w:val="auto"/>
          <w:sz w:val="32"/>
          <w:szCs w:val="32"/>
        </w:rPr>
      </w:pPr>
      <w:r>
        <w:rPr>
          <w:rFonts w:hint="eastAsia" w:ascii="仿宋_GB2312" w:hAnsi="仿宋" w:eastAsia="仿宋_GB2312"/>
          <w:color w:val="auto"/>
          <w:sz w:val="32"/>
          <w:szCs w:val="32"/>
        </w:rPr>
        <w:t>食品原料的质量与卫生是食品质量安全的前提。食品生产经营单位应加强对所使用的原材料的质量管理，建立进货查验、索证索票和进货台账制度，查验供货者的许可证和包含必要检验项目的食品合格证明文件，不得采购腐败变质、发霉、质量不新鲜的食品原料，确保各种原辅料的质量符合标准的有关规定和要求。</w:t>
      </w:r>
    </w:p>
    <w:p>
      <w:pPr>
        <w:pStyle w:val="9"/>
        <w:keepNext w:val="0"/>
        <w:keepLines w:val="0"/>
        <w:pageBreakBefore w:val="0"/>
        <w:numPr>
          <w:ilvl w:val="0"/>
          <w:numId w:val="1"/>
        </w:numPr>
        <w:shd w:val="clear" w:color="auto" w:fill="FFFFFF"/>
        <w:kinsoku/>
        <w:wordWrap/>
        <w:overflowPunct/>
        <w:topLinePunct w:val="0"/>
        <w:autoSpaceDE/>
        <w:autoSpaceDN/>
        <w:bidi w:val="0"/>
        <w:adjustRightInd/>
        <w:snapToGrid/>
        <w:spacing w:before="0" w:beforeAutospacing="0" w:after="0" w:afterAutospacing="0" w:line="560" w:lineRule="exact"/>
        <w:ind w:left="961" w:leftChars="200" w:hanging="321" w:hangingChars="100"/>
        <w:textAlignment w:val="auto"/>
        <w:rPr>
          <w:rFonts w:hint="eastAsia" w:ascii="楷体_GB2312" w:hAnsi="楷体" w:eastAsia="楷体_GB2312"/>
          <w:b/>
          <w:color w:val="auto"/>
          <w:sz w:val="32"/>
          <w:szCs w:val="32"/>
        </w:rPr>
      </w:pPr>
      <w:r>
        <w:rPr>
          <w:rFonts w:hint="eastAsia" w:ascii="楷体_GB2312" w:hAnsi="楷体" w:eastAsia="楷体_GB2312"/>
          <w:b/>
          <w:color w:val="auto"/>
          <w:sz w:val="32"/>
          <w:szCs w:val="32"/>
        </w:rPr>
        <w:t>加强</w:t>
      </w:r>
      <w:r>
        <w:rPr>
          <w:rFonts w:hint="eastAsia" w:ascii="楷体_GB2312" w:hAnsi="楷体" w:eastAsia="楷体_GB2312"/>
          <w:b/>
          <w:color w:val="auto"/>
          <w:sz w:val="32"/>
          <w:szCs w:val="32"/>
          <w:lang w:eastAsia="zh-CN"/>
        </w:rPr>
        <w:t>运输、存储环境</w:t>
      </w:r>
      <w:r>
        <w:rPr>
          <w:rFonts w:hint="eastAsia" w:ascii="楷体_GB2312" w:hAnsi="楷体" w:eastAsia="楷体_GB2312"/>
          <w:b/>
          <w:color w:val="auto"/>
          <w:sz w:val="32"/>
          <w:szCs w:val="32"/>
        </w:rPr>
        <w:t>控制</w:t>
      </w:r>
    </w:p>
    <w:p>
      <w:pPr>
        <w:pStyle w:val="9"/>
        <w:shd w:val="clear" w:color="auto" w:fill="FFFFFF"/>
        <w:spacing w:before="0" w:beforeAutospacing="0" w:after="0" w:afterAutospacing="0"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食品经营者应保证运输和装卸食品的容器、工具和设备清洁、无害，保证食品的经营环境和储存环境等符合与食品所需的环境，并及时清理变质、超过保质期及其他不符合标准要求的食品；针对特殊贮存要求的食品，食品经营者在运输、贮藏时应当符合食品安全所需要的温度、空间隔离等特殊要求，防止交叉污染。</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ascii="楷体_GB2312" w:hAnsi="楷体" w:eastAsia="楷体_GB2312"/>
          <w:b/>
          <w:color w:val="auto"/>
          <w:sz w:val="32"/>
          <w:szCs w:val="32"/>
        </w:rPr>
      </w:pPr>
      <w:r>
        <w:rPr>
          <w:rFonts w:hint="eastAsia" w:ascii="楷体_GB2312" w:hAnsi="楷体" w:eastAsia="楷体_GB2312"/>
          <w:b/>
          <w:color w:val="auto"/>
          <w:sz w:val="32"/>
          <w:szCs w:val="32"/>
        </w:rPr>
        <w:t>（</w:t>
      </w:r>
      <w:r>
        <w:rPr>
          <w:rFonts w:hint="eastAsia" w:ascii="楷体_GB2312" w:hAnsi="楷体" w:eastAsia="楷体_GB2312"/>
          <w:b/>
          <w:color w:val="auto"/>
          <w:sz w:val="32"/>
          <w:szCs w:val="32"/>
          <w:lang w:eastAsia="zh-CN"/>
        </w:rPr>
        <w:t>三</w:t>
      </w:r>
      <w:r>
        <w:rPr>
          <w:rFonts w:hint="eastAsia" w:ascii="楷体_GB2312" w:hAnsi="楷体" w:eastAsia="楷体_GB2312"/>
          <w:b/>
          <w:color w:val="auto"/>
          <w:sz w:val="32"/>
          <w:szCs w:val="32"/>
        </w:rPr>
        <w:t>）加强食品出厂检验</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eastAsia="仿宋_GB2312"/>
          <w:color w:val="auto"/>
          <w:sz w:val="32"/>
          <w:szCs w:val="32"/>
        </w:rPr>
        <w:t>食品生产企业要强化重视出厂检验的意识，制定切合自身且不断完善的出厂检验制度；建立完善的检测条件针对自身产品进行日常监管，制定出厂检验计划并严格执行，确保生产合格的产品；加强对生产的成品的检测频率，进行自检或送往具有相关资质的检测机构进行检测；建立健全产品召回机制，应对突发产品质量问题。</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Style w:val="14"/>
          <w:rFonts w:ascii="楷体_GB2312" w:hAnsi="楷体" w:eastAsia="楷体_GB2312"/>
          <w:color w:val="auto"/>
          <w:sz w:val="32"/>
          <w:szCs w:val="32"/>
          <w:highlight w:val="none"/>
        </w:rPr>
      </w:pPr>
      <w:r>
        <w:rPr>
          <w:rStyle w:val="14"/>
          <w:rFonts w:hint="eastAsia" w:ascii="楷体_GB2312" w:hAnsi="楷体" w:eastAsia="楷体_GB2312"/>
          <w:color w:val="auto"/>
          <w:sz w:val="32"/>
          <w:szCs w:val="32"/>
          <w:highlight w:val="none"/>
        </w:rPr>
        <w:t>（</w:t>
      </w:r>
      <w:r>
        <w:rPr>
          <w:rStyle w:val="14"/>
          <w:rFonts w:hint="eastAsia" w:ascii="楷体_GB2312" w:hAnsi="楷体" w:eastAsia="楷体_GB2312"/>
          <w:color w:val="auto"/>
          <w:sz w:val="32"/>
          <w:szCs w:val="32"/>
          <w:highlight w:val="none"/>
          <w:lang w:eastAsia="zh-CN"/>
        </w:rPr>
        <w:t>四</w:t>
      </w:r>
      <w:r>
        <w:rPr>
          <w:rStyle w:val="14"/>
          <w:rFonts w:hint="eastAsia" w:ascii="楷体_GB2312" w:hAnsi="楷体" w:eastAsia="楷体_GB2312"/>
          <w:color w:val="auto"/>
          <w:sz w:val="32"/>
          <w:szCs w:val="32"/>
          <w:highlight w:val="none"/>
        </w:rPr>
        <w:t>）提高食品添加剂安全使用意识</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cs="仿宋_GB2312"/>
          <w:color w:val="auto"/>
          <w:sz w:val="32"/>
          <w:szCs w:val="32"/>
        </w:rPr>
      </w:pPr>
      <w:r>
        <w:rPr>
          <w:rFonts w:hint="eastAsia" w:ascii="仿宋_GB2312" w:hAnsi="仿宋" w:eastAsia="仿宋_GB2312"/>
          <w:color w:val="auto"/>
          <w:sz w:val="32"/>
          <w:szCs w:val="32"/>
          <w:highlight w:val="none"/>
        </w:rPr>
        <w:t>部分食品生产经营者为了追求经济效益，对食品添加剂过于依赖，但对食品添加剂使用要求却执行不到位。因此</w:t>
      </w:r>
      <w:r>
        <w:rPr>
          <w:rFonts w:hint="eastAsia" w:ascii="仿宋_GB2312" w:hAnsi="仿宋" w:eastAsia="仿宋_GB2312"/>
          <w:color w:val="auto"/>
          <w:sz w:val="32"/>
          <w:szCs w:val="32"/>
          <w:highlight w:val="none"/>
          <w:lang w:eastAsia="zh-CN"/>
        </w:rPr>
        <w:t>应</w:t>
      </w:r>
      <w:r>
        <w:rPr>
          <w:rFonts w:hint="eastAsia" w:ascii="仿宋_GB2312" w:hAnsi="仿宋" w:eastAsia="仿宋_GB2312"/>
          <w:color w:val="auto"/>
          <w:sz w:val="32"/>
          <w:szCs w:val="32"/>
          <w:highlight w:val="none"/>
        </w:rPr>
        <w:t>落实企业主体，加大对食品生产企业关于食品添加剂的相关法律法规和国家标准知识的宣传力度，进一步宣贯违法添加和滥用食品添加剂行为的危害性以及通过加大惩处等措施来提高食品生产企业食品添加剂安全使用意识。</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632080A-2898-439B-BCFE-F187571BFCDD}"/>
  </w:font>
  <w:font w:name="黑体">
    <w:panose1 w:val="02010609060101010101"/>
    <w:charset w:val="86"/>
    <w:family w:val="auto"/>
    <w:pitch w:val="default"/>
    <w:sig w:usb0="800002BF" w:usb1="38CF7CFA" w:usb2="00000016" w:usb3="00000000" w:csb0="00040001" w:csb1="00000000"/>
    <w:embedRegular r:id="rId2" w:fontKey="{F596FF35-FD78-4639-9898-C385F2AE013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5177AC93-AD19-49B4-8DF4-C3E9C673FBD9}"/>
  </w:font>
  <w:font w:name="楷体_GB2312">
    <w:panose1 w:val="02010609030101010101"/>
    <w:charset w:val="86"/>
    <w:family w:val="auto"/>
    <w:pitch w:val="default"/>
    <w:sig w:usb0="00000001" w:usb1="080E0000" w:usb2="00000000" w:usb3="00000000" w:csb0="00040000" w:csb1="00000000"/>
    <w:embedRegular r:id="rId4" w:fontKey="{79D7C1E4-795D-4E13-B390-D80911F717A7}"/>
  </w:font>
  <w:font w:name="Calibri Light">
    <w:panose1 w:val="020F03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embedRegular r:id="rId5" w:fontKey="{54373000-BA53-49D0-9825-3C9353D8344E}"/>
  </w:font>
  <w:font w:name="华文中宋">
    <w:panose1 w:val="02010600040101010101"/>
    <w:charset w:val="86"/>
    <w:family w:val="auto"/>
    <w:pitch w:val="default"/>
    <w:sig w:usb0="00000287" w:usb1="080F0000" w:usb2="00000000" w:usb3="00000000" w:csb0="0004009F" w:csb1="DFD70000"/>
    <w:embedRegular r:id="rId6" w:fontKey="{387159E4-E762-4F78-B0F5-E0C7FF9A7D8D}"/>
  </w:font>
  <w:font w:name="楷体">
    <w:panose1 w:val="02010609060101010101"/>
    <w:charset w:val="86"/>
    <w:family w:val="modern"/>
    <w:pitch w:val="default"/>
    <w:sig w:usb0="800002BF" w:usb1="38CF7CFA" w:usb2="00000016" w:usb3="00000000" w:csb0="00040001" w:csb1="00000000"/>
    <w:embedRegular r:id="rId7" w:fontKey="{1669ABD9-A261-4100-8FAF-46D2F763453F}"/>
  </w:font>
  <w:font w:name="仿宋">
    <w:panose1 w:val="02010609060101010101"/>
    <w:charset w:val="86"/>
    <w:family w:val="modern"/>
    <w:pitch w:val="default"/>
    <w:sig w:usb0="800002BF" w:usb1="38CF7CFA" w:usb2="00000016" w:usb3="00000000" w:csb0="00040001" w:csb1="00000000"/>
    <w:embedRegular r:id="rId8" w:fontKey="{748C1A97-5564-435D-816F-FD6B6031A326}"/>
  </w:font>
  <w:font w:name="方正楷体_GB2312">
    <w:panose1 w:val="02000000000000000000"/>
    <w:charset w:val="86"/>
    <w:family w:val="auto"/>
    <w:pitch w:val="default"/>
    <w:sig w:usb0="A00002BF" w:usb1="184F6CFA" w:usb2="00000012" w:usb3="00000000" w:csb0="00040001" w:csb1="00000000"/>
    <w:embedRegular r:id="rId9" w:fontKey="{0A106537-A2E2-4C88-BE10-95AE349E1DCE}"/>
  </w:font>
  <w:font w:name="Tahoma">
    <w:panose1 w:val="020B0604030504040204"/>
    <w:charset w:val="00"/>
    <w:family w:val="swiss"/>
    <w:pitch w:val="default"/>
    <w:sig w:usb0="E1002EFF" w:usb1="C000605B" w:usb2="00000029" w:usb3="00000000" w:csb0="200101FF" w:csb1="20280000"/>
    <w:embedRegular r:id="rId10" w:fontKey="{B39CC19C-19C9-4FD8-A616-426A08D90FBC}"/>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B36E8D"/>
    <w:multiLevelType w:val="singleLevel"/>
    <w:tmpl w:val="5BB36E8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FkNWY3MDE3M2RiODhiZTRhOWM0N2VmNTEzZWI5MGUifQ=="/>
  </w:docVars>
  <w:rsids>
    <w:rsidRoot w:val="010D4506"/>
    <w:rsid w:val="000139C9"/>
    <w:rsid w:val="005363F0"/>
    <w:rsid w:val="006B1DCC"/>
    <w:rsid w:val="00724BD2"/>
    <w:rsid w:val="008D6C99"/>
    <w:rsid w:val="00B977A2"/>
    <w:rsid w:val="00BE4BAD"/>
    <w:rsid w:val="010D4506"/>
    <w:rsid w:val="01565C22"/>
    <w:rsid w:val="017D0269"/>
    <w:rsid w:val="01880CE2"/>
    <w:rsid w:val="01D53863"/>
    <w:rsid w:val="01DD3C4D"/>
    <w:rsid w:val="03365C46"/>
    <w:rsid w:val="034743C9"/>
    <w:rsid w:val="034F1986"/>
    <w:rsid w:val="03E020C5"/>
    <w:rsid w:val="03FD00B3"/>
    <w:rsid w:val="0453793B"/>
    <w:rsid w:val="04977BD5"/>
    <w:rsid w:val="055921C9"/>
    <w:rsid w:val="055A195A"/>
    <w:rsid w:val="0597115B"/>
    <w:rsid w:val="06261016"/>
    <w:rsid w:val="06585F98"/>
    <w:rsid w:val="066C5CEA"/>
    <w:rsid w:val="06894B40"/>
    <w:rsid w:val="06F0528D"/>
    <w:rsid w:val="06F3181D"/>
    <w:rsid w:val="07486F42"/>
    <w:rsid w:val="07C82C95"/>
    <w:rsid w:val="07E04EFC"/>
    <w:rsid w:val="081209FA"/>
    <w:rsid w:val="081B38E6"/>
    <w:rsid w:val="08AD06EB"/>
    <w:rsid w:val="08F00F9F"/>
    <w:rsid w:val="091C5D20"/>
    <w:rsid w:val="099F35F4"/>
    <w:rsid w:val="0A101FAB"/>
    <w:rsid w:val="0A416AB6"/>
    <w:rsid w:val="0A545255"/>
    <w:rsid w:val="0AEA5DCE"/>
    <w:rsid w:val="0B66492E"/>
    <w:rsid w:val="0B6F4B3F"/>
    <w:rsid w:val="0C083FBC"/>
    <w:rsid w:val="0C0C4E1D"/>
    <w:rsid w:val="0C455D22"/>
    <w:rsid w:val="0C6F4539"/>
    <w:rsid w:val="0C760736"/>
    <w:rsid w:val="0CD4225F"/>
    <w:rsid w:val="0D1C5633"/>
    <w:rsid w:val="0D6C4E32"/>
    <w:rsid w:val="0E431583"/>
    <w:rsid w:val="0EA926E5"/>
    <w:rsid w:val="0EA93008"/>
    <w:rsid w:val="0EC839C2"/>
    <w:rsid w:val="0F261454"/>
    <w:rsid w:val="0F567840"/>
    <w:rsid w:val="0FE51EE1"/>
    <w:rsid w:val="108B31AA"/>
    <w:rsid w:val="10AD16A7"/>
    <w:rsid w:val="10BA4D47"/>
    <w:rsid w:val="1162065F"/>
    <w:rsid w:val="11B32DA0"/>
    <w:rsid w:val="11BA183E"/>
    <w:rsid w:val="11CE6913"/>
    <w:rsid w:val="11E172CB"/>
    <w:rsid w:val="11F21CEC"/>
    <w:rsid w:val="1210526E"/>
    <w:rsid w:val="12AF7645"/>
    <w:rsid w:val="12B51B83"/>
    <w:rsid w:val="12D976B3"/>
    <w:rsid w:val="137821D3"/>
    <w:rsid w:val="139A1CB2"/>
    <w:rsid w:val="13E774D5"/>
    <w:rsid w:val="141B2394"/>
    <w:rsid w:val="14292A97"/>
    <w:rsid w:val="1499532A"/>
    <w:rsid w:val="1512088F"/>
    <w:rsid w:val="155219D3"/>
    <w:rsid w:val="15FE7C46"/>
    <w:rsid w:val="16396F4B"/>
    <w:rsid w:val="164E1FAB"/>
    <w:rsid w:val="165773C2"/>
    <w:rsid w:val="16A102CE"/>
    <w:rsid w:val="16A52765"/>
    <w:rsid w:val="176818BF"/>
    <w:rsid w:val="17C62E78"/>
    <w:rsid w:val="17CA0823"/>
    <w:rsid w:val="17FA5E44"/>
    <w:rsid w:val="181E6360"/>
    <w:rsid w:val="182C56B9"/>
    <w:rsid w:val="18F91C2D"/>
    <w:rsid w:val="18FA3DC4"/>
    <w:rsid w:val="199008F8"/>
    <w:rsid w:val="19EB104A"/>
    <w:rsid w:val="1A19393D"/>
    <w:rsid w:val="1A81096D"/>
    <w:rsid w:val="1A84029D"/>
    <w:rsid w:val="1AC759AF"/>
    <w:rsid w:val="1B042E72"/>
    <w:rsid w:val="1B7E0D88"/>
    <w:rsid w:val="1C2B3ECE"/>
    <w:rsid w:val="1C354059"/>
    <w:rsid w:val="1D3D5D17"/>
    <w:rsid w:val="1DB57EDF"/>
    <w:rsid w:val="1E3C794C"/>
    <w:rsid w:val="1EFD4E3F"/>
    <w:rsid w:val="1F120F82"/>
    <w:rsid w:val="1F456A61"/>
    <w:rsid w:val="1FEA3D63"/>
    <w:rsid w:val="200B2815"/>
    <w:rsid w:val="20303594"/>
    <w:rsid w:val="208760C8"/>
    <w:rsid w:val="208E2538"/>
    <w:rsid w:val="2103478D"/>
    <w:rsid w:val="219C06C7"/>
    <w:rsid w:val="22F15479"/>
    <w:rsid w:val="231A399D"/>
    <w:rsid w:val="24415E66"/>
    <w:rsid w:val="248553AF"/>
    <w:rsid w:val="249A66FD"/>
    <w:rsid w:val="24F01236"/>
    <w:rsid w:val="25131149"/>
    <w:rsid w:val="255973C6"/>
    <w:rsid w:val="255D305C"/>
    <w:rsid w:val="257D0D7B"/>
    <w:rsid w:val="25D84592"/>
    <w:rsid w:val="262E6380"/>
    <w:rsid w:val="26635934"/>
    <w:rsid w:val="26D25598"/>
    <w:rsid w:val="27084E46"/>
    <w:rsid w:val="270C1F17"/>
    <w:rsid w:val="274815F0"/>
    <w:rsid w:val="27537B32"/>
    <w:rsid w:val="27786C5E"/>
    <w:rsid w:val="27D171E0"/>
    <w:rsid w:val="282A264F"/>
    <w:rsid w:val="28664823"/>
    <w:rsid w:val="28EE2E75"/>
    <w:rsid w:val="2928376B"/>
    <w:rsid w:val="29292876"/>
    <w:rsid w:val="295771E6"/>
    <w:rsid w:val="29DF09A6"/>
    <w:rsid w:val="2A2E5413"/>
    <w:rsid w:val="2A706ED1"/>
    <w:rsid w:val="2A95365C"/>
    <w:rsid w:val="2ACC6C6B"/>
    <w:rsid w:val="2B0D6532"/>
    <w:rsid w:val="2BA5399C"/>
    <w:rsid w:val="2C6F3579"/>
    <w:rsid w:val="2C784420"/>
    <w:rsid w:val="2D2D024C"/>
    <w:rsid w:val="2DA27B95"/>
    <w:rsid w:val="2DCA4231"/>
    <w:rsid w:val="2E172668"/>
    <w:rsid w:val="2E6B3A9D"/>
    <w:rsid w:val="2E871900"/>
    <w:rsid w:val="2F085758"/>
    <w:rsid w:val="2F3F7F56"/>
    <w:rsid w:val="2F4F707A"/>
    <w:rsid w:val="2FD45D99"/>
    <w:rsid w:val="2FFC71C6"/>
    <w:rsid w:val="307B5CC3"/>
    <w:rsid w:val="308A4336"/>
    <w:rsid w:val="30B3361E"/>
    <w:rsid w:val="31044F7C"/>
    <w:rsid w:val="31200851"/>
    <w:rsid w:val="31831750"/>
    <w:rsid w:val="3189778C"/>
    <w:rsid w:val="31AA7543"/>
    <w:rsid w:val="31EA5456"/>
    <w:rsid w:val="31EF1FC4"/>
    <w:rsid w:val="323F00BC"/>
    <w:rsid w:val="324700B2"/>
    <w:rsid w:val="330F0153"/>
    <w:rsid w:val="33132CF8"/>
    <w:rsid w:val="3334531C"/>
    <w:rsid w:val="336A3327"/>
    <w:rsid w:val="33713745"/>
    <w:rsid w:val="34264611"/>
    <w:rsid w:val="343E30F0"/>
    <w:rsid w:val="348E513C"/>
    <w:rsid w:val="34A77C54"/>
    <w:rsid w:val="34B74329"/>
    <w:rsid w:val="34FF4C0B"/>
    <w:rsid w:val="354F3FC5"/>
    <w:rsid w:val="35BC7A15"/>
    <w:rsid w:val="36A26439"/>
    <w:rsid w:val="36A86284"/>
    <w:rsid w:val="372845B2"/>
    <w:rsid w:val="37790A88"/>
    <w:rsid w:val="3787038C"/>
    <w:rsid w:val="37CC35F3"/>
    <w:rsid w:val="37DD6246"/>
    <w:rsid w:val="37FC2378"/>
    <w:rsid w:val="382D7593"/>
    <w:rsid w:val="38622AFA"/>
    <w:rsid w:val="387272BF"/>
    <w:rsid w:val="38865B2F"/>
    <w:rsid w:val="38E250CA"/>
    <w:rsid w:val="391B060E"/>
    <w:rsid w:val="39264334"/>
    <w:rsid w:val="39275408"/>
    <w:rsid w:val="39824C43"/>
    <w:rsid w:val="398B0B0F"/>
    <w:rsid w:val="39C64A66"/>
    <w:rsid w:val="3AB301FA"/>
    <w:rsid w:val="3B1904CB"/>
    <w:rsid w:val="3B2518DE"/>
    <w:rsid w:val="3B504FA6"/>
    <w:rsid w:val="3BAB1A67"/>
    <w:rsid w:val="3BFE4DC9"/>
    <w:rsid w:val="3C064771"/>
    <w:rsid w:val="3CA67A9F"/>
    <w:rsid w:val="3CDD7A17"/>
    <w:rsid w:val="3DBC0B10"/>
    <w:rsid w:val="3DF44DD4"/>
    <w:rsid w:val="3E051E67"/>
    <w:rsid w:val="3E1079E4"/>
    <w:rsid w:val="3E182457"/>
    <w:rsid w:val="3E88008E"/>
    <w:rsid w:val="3E984FE9"/>
    <w:rsid w:val="3EC80CDE"/>
    <w:rsid w:val="3F033412"/>
    <w:rsid w:val="3F0B45B6"/>
    <w:rsid w:val="3F685D87"/>
    <w:rsid w:val="3F7A3AC2"/>
    <w:rsid w:val="40191044"/>
    <w:rsid w:val="42016010"/>
    <w:rsid w:val="428251DB"/>
    <w:rsid w:val="42C23130"/>
    <w:rsid w:val="42D71D53"/>
    <w:rsid w:val="43974288"/>
    <w:rsid w:val="439F5506"/>
    <w:rsid w:val="440F147B"/>
    <w:rsid w:val="44141429"/>
    <w:rsid w:val="44896D41"/>
    <w:rsid w:val="44D452BA"/>
    <w:rsid w:val="45104BE6"/>
    <w:rsid w:val="460F4F06"/>
    <w:rsid w:val="464A4562"/>
    <w:rsid w:val="46CC6013"/>
    <w:rsid w:val="482B56E1"/>
    <w:rsid w:val="4848609B"/>
    <w:rsid w:val="4852746A"/>
    <w:rsid w:val="4864409A"/>
    <w:rsid w:val="48961A2D"/>
    <w:rsid w:val="48E60C18"/>
    <w:rsid w:val="49346CC6"/>
    <w:rsid w:val="49664C37"/>
    <w:rsid w:val="499A7ACA"/>
    <w:rsid w:val="4AF350DE"/>
    <w:rsid w:val="4B223C16"/>
    <w:rsid w:val="4B37566A"/>
    <w:rsid w:val="4B3F5F2B"/>
    <w:rsid w:val="4BCB614C"/>
    <w:rsid w:val="4C7A639D"/>
    <w:rsid w:val="4CE91A69"/>
    <w:rsid w:val="4CF5205D"/>
    <w:rsid w:val="4DAC348D"/>
    <w:rsid w:val="4E0D626A"/>
    <w:rsid w:val="4E183BFE"/>
    <w:rsid w:val="4E403AAD"/>
    <w:rsid w:val="4EAD6BF5"/>
    <w:rsid w:val="4EBC0748"/>
    <w:rsid w:val="4ECB0493"/>
    <w:rsid w:val="4ECC3762"/>
    <w:rsid w:val="4F4940D8"/>
    <w:rsid w:val="4FE23640"/>
    <w:rsid w:val="4FED4605"/>
    <w:rsid w:val="503305EE"/>
    <w:rsid w:val="50561BEF"/>
    <w:rsid w:val="51F5342B"/>
    <w:rsid w:val="52332F51"/>
    <w:rsid w:val="528B5881"/>
    <w:rsid w:val="52A0415B"/>
    <w:rsid w:val="52E13353"/>
    <w:rsid w:val="52FE47AC"/>
    <w:rsid w:val="533A17A5"/>
    <w:rsid w:val="53465E28"/>
    <w:rsid w:val="534B1050"/>
    <w:rsid w:val="5370241B"/>
    <w:rsid w:val="53785E73"/>
    <w:rsid w:val="538B58DC"/>
    <w:rsid w:val="539260FB"/>
    <w:rsid w:val="53FD7C6B"/>
    <w:rsid w:val="54487F56"/>
    <w:rsid w:val="548A3477"/>
    <w:rsid w:val="550906E8"/>
    <w:rsid w:val="551B6EF1"/>
    <w:rsid w:val="557E5EAF"/>
    <w:rsid w:val="55961D9B"/>
    <w:rsid w:val="55F22D46"/>
    <w:rsid w:val="56D02FB6"/>
    <w:rsid w:val="56FE090D"/>
    <w:rsid w:val="5737759B"/>
    <w:rsid w:val="577D74E9"/>
    <w:rsid w:val="57FE2087"/>
    <w:rsid w:val="586B71C9"/>
    <w:rsid w:val="590154BD"/>
    <w:rsid w:val="59527B6B"/>
    <w:rsid w:val="59AF7439"/>
    <w:rsid w:val="59CC251A"/>
    <w:rsid w:val="59E33FF0"/>
    <w:rsid w:val="59EA54F5"/>
    <w:rsid w:val="5A5B4E1E"/>
    <w:rsid w:val="5A607799"/>
    <w:rsid w:val="5AED1980"/>
    <w:rsid w:val="5B13142F"/>
    <w:rsid w:val="5B4B2BCB"/>
    <w:rsid w:val="5B98016E"/>
    <w:rsid w:val="5C000884"/>
    <w:rsid w:val="5C224F8E"/>
    <w:rsid w:val="5C240B88"/>
    <w:rsid w:val="5C317F92"/>
    <w:rsid w:val="5E0606ED"/>
    <w:rsid w:val="5E0D1B19"/>
    <w:rsid w:val="5E214E94"/>
    <w:rsid w:val="5E275C6B"/>
    <w:rsid w:val="5E553A15"/>
    <w:rsid w:val="5E5703AB"/>
    <w:rsid w:val="5E7004E1"/>
    <w:rsid w:val="5E7F3F9B"/>
    <w:rsid w:val="5E9E3209"/>
    <w:rsid w:val="5ECD4C7F"/>
    <w:rsid w:val="5EEC66E6"/>
    <w:rsid w:val="5F093C78"/>
    <w:rsid w:val="5F5A1107"/>
    <w:rsid w:val="5F7E1BB9"/>
    <w:rsid w:val="5F831A12"/>
    <w:rsid w:val="5FB95F86"/>
    <w:rsid w:val="601163AE"/>
    <w:rsid w:val="6048573D"/>
    <w:rsid w:val="60FF5FDD"/>
    <w:rsid w:val="617E5460"/>
    <w:rsid w:val="61E02C8B"/>
    <w:rsid w:val="625323D6"/>
    <w:rsid w:val="62547A4D"/>
    <w:rsid w:val="62813E61"/>
    <w:rsid w:val="6300246C"/>
    <w:rsid w:val="638239E5"/>
    <w:rsid w:val="638C3D00"/>
    <w:rsid w:val="63E10B0C"/>
    <w:rsid w:val="63F3279C"/>
    <w:rsid w:val="640059A5"/>
    <w:rsid w:val="640612C6"/>
    <w:rsid w:val="647A6E52"/>
    <w:rsid w:val="64EE5D8F"/>
    <w:rsid w:val="6500065A"/>
    <w:rsid w:val="6537764C"/>
    <w:rsid w:val="65E578BD"/>
    <w:rsid w:val="666A4D62"/>
    <w:rsid w:val="668A5EDC"/>
    <w:rsid w:val="66927680"/>
    <w:rsid w:val="66D06442"/>
    <w:rsid w:val="67180D7A"/>
    <w:rsid w:val="6756300A"/>
    <w:rsid w:val="67663F7B"/>
    <w:rsid w:val="6792245C"/>
    <w:rsid w:val="67AC56C6"/>
    <w:rsid w:val="6801069F"/>
    <w:rsid w:val="680F265C"/>
    <w:rsid w:val="687D6CC8"/>
    <w:rsid w:val="68BA7C55"/>
    <w:rsid w:val="68E66C0F"/>
    <w:rsid w:val="690A7BA1"/>
    <w:rsid w:val="69113DCA"/>
    <w:rsid w:val="69130912"/>
    <w:rsid w:val="69CB77D8"/>
    <w:rsid w:val="69D6627D"/>
    <w:rsid w:val="6A323B2C"/>
    <w:rsid w:val="6A524C0E"/>
    <w:rsid w:val="6AC33480"/>
    <w:rsid w:val="6B1806CB"/>
    <w:rsid w:val="6C2646D1"/>
    <w:rsid w:val="6C5A3FCD"/>
    <w:rsid w:val="6C721C9A"/>
    <w:rsid w:val="6C942E03"/>
    <w:rsid w:val="6CB62996"/>
    <w:rsid w:val="6D731B27"/>
    <w:rsid w:val="6D76258B"/>
    <w:rsid w:val="6E7050A9"/>
    <w:rsid w:val="6E7A59CD"/>
    <w:rsid w:val="6E9610D2"/>
    <w:rsid w:val="6ECD36FF"/>
    <w:rsid w:val="6F1957D5"/>
    <w:rsid w:val="70254438"/>
    <w:rsid w:val="70810F1E"/>
    <w:rsid w:val="71754C6E"/>
    <w:rsid w:val="71DB6825"/>
    <w:rsid w:val="72014BAF"/>
    <w:rsid w:val="7275613E"/>
    <w:rsid w:val="72A04A1F"/>
    <w:rsid w:val="72F24D9D"/>
    <w:rsid w:val="733275F5"/>
    <w:rsid w:val="738026E3"/>
    <w:rsid w:val="73A979E7"/>
    <w:rsid w:val="73F31987"/>
    <w:rsid w:val="74104D2B"/>
    <w:rsid w:val="7432739D"/>
    <w:rsid w:val="744F4674"/>
    <w:rsid w:val="747927C4"/>
    <w:rsid w:val="74F11C15"/>
    <w:rsid w:val="754B170B"/>
    <w:rsid w:val="755146AE"/>
    <w:rsid w:val="756F7B86"/>
    <w:rsid w:val="75915D7B"/>
    <w:rsid w:val="759F6029"/>
    <w:rsid w:val="75A82AC5"/>
    <w:rsid w:val="75CA36CA"/>
    <w:rsid w:val="763955BF"/>
    <w:rsid w:val="773A01B0"/>
    <w:rsid w:val="779A49A3"/>
    <w:rsid w:val="77BF6833"/>
    <w:rsid w:val="77FC16E5"/>
    <w:rsid w:val="78810DF7"/>
    <w:rsid w:val="78BC4EF9"/>
    <w:rsid w:val="78C17088"/>
    <w:rsid w:val="78C82F23"/>
    <w:rsid w:val="78FE0A2F"/>
    <w:rsid w:val="792F0912"/>
    <w:rsid w:val="7A7C11A9"/>
    <w:rsid w:val="7A895DC7"/>
    <w:rsid w:val="7AC47EB7"/>
    <w:rsid w:val="7B4B68E6"/>
    <w:rsid w:val="7B5E04A9"/>
    <w:rsid w:val="7BE41421"/>
    <w:rsid w:val="7C073518"/>
    <w:rsid w:val="7C4079FA"/>
    <w:rsid w:val="7C8F2CF0"/>
    <w:rsid w:val="7F270D2A"/>
    <w:rsid w:val="7FD461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Calibri" w:hAnsi="Calibri" w:eastAsia="仿宋_GB2312" w:cs="Times New Roman"/>
      <w:kern w:val="2"/>
      <w:sz w:val="32"/>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eastAsia="楷体_GB2312"/>
      <w:b/>
      <w:kern w:val="44"/>
    </w:rPr>
  </w:style>
  <w:style w:type="paragraph" w:styleId="4">
    <w:name w:val="heading 2"/>
    <w:basedOn w:val="1"/>
    <w:next w:val="1"/>
    <w:link w:val="19"/>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paragraph" w:styleId="2">
    <w:name w:val="heading 3"/>
    <w:basedOn w:val="1"/>
    <w:next w:val="1"/>
    <w:link w:val="21"/>
    <w:semiHidden/>
    <w:unhideWhenUsed/>
    <w:qFormat/>
    <w:uiPriority w:val="0"/>
    <w:pPr>
      <w:keepNext/>
      <w:keepLines/>
      <w:spacing w:before="200" w:beforeLines="0" w:beforeAutospacing="0" w:after="60" w:afterLines="0" w:afterAutospacing="0" w:line="420" w:lineRule="exact"/>
      <w:ind w:firstLine="0" w:firstLineChars="0"/>
      <w:jc w:val="left"/>
      <w:outlineLvl w:val="2"/>
    </w:pPr>
    <w:rPr>
      <w:rFonts w:hint="eastAsia" w:ascii="宋体" w:hAnsi="宋体" w:cs="Times New Roman"/>
      <w:b/>
      <w:szCs w:val="24"/>
    </w:rPr>
  </w:style>
  <w:style w:type="character" w:default="1" w:styleId="13">
    <w:name w:val="Default Paragraph Font"/>
    <w:semiHidden/>
    <w:unhideWhenUsed/>
    <w:qFormat/>
    <w:uiPriority w:val="1"/>
  </w:style>
  <w:style w:type="table" w:default="1" w:styleId="1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Body Text"/>
    <w:basedOn w:val="1"/>
    <w:qFormat/>
    <w:uiPriority w:val="0"/>
    <w:rPr>
      <w:sz w:val="28"/>
    </w:rPr>
  </w:style>
  <w:style w:type="paragraph" w:styleId="6">
    <w:name w:val="Body Text Indent"/>
    <w:basedOn w:val="1"/>
    <w:qFormat/>
    <w:uiPriority w:val="0"/>
    <w:pPr>
      <w:spacing w:before="120" w:after="120"/>
      <w:ind w:firstLine="480"/>
    </w:pPr>
    <w:rPr>
      <w:rFonts w:ascii="宋体" w:hAnsi="宋体"/>
      <w:sz w:val="24"/>
      <w:szCs w:val="20"/>
    </w:rPr>
  </w:style>
  <w:style w:type="paragraph" w:styleId="7">
    <w:name w:val="footer"/>
    <w:basedOn w:val="1"/>
    <w:link w:val="18"/>
    <w:qFormat/>
    <w:uiPriority w:val="0"/>
    <w:pPr>
      <w:tabs>
        <w:tab w:val="center" w:pos="4153"/>
        <w:tab w:val="right" w:pos="8306"/>
      </w:tabs>
      <w:snapToGrid w:val="0"/>
      <w:jc w:val="left"/>
    </w:pPr>
    <w:rPr>
      <w:sz w:val="18"/>
      <w:szCs w:val="18"/>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paragraph" w:styleId="10">
    <w:name w:val="Body Text First Indent"/>
    <w:basedOn w:val="5"/>
    <w:qFormat/>
    <w:uiPriority w:val="0"/>
    <w:pPr>
      <w:ind w:firstLine="420" w:firstLineChars="100"/>
    </w:pPr>
  </w:style>
  <w:style w:type="paragraph" w:styleId="11">
    <w:name w:val="Body Text First Indent 2"/>
    <w:basedOn w:val="6"/>
    <w:next w:val="10"/>
    <w:qFormat/>
    <w:uiPriority w:val="0"/>
    <w:pPr>
      <w:spacing w:before="0"/>
      <w:ind w:left="420" w:leftChars="200" w:firstLine="420"/>
    </w:pPr>
  </w:style>
  <w:style w:type="character" w:styleId="14">
    <w:name w:val="Strong"/>
    <w:basedOn w:val="13"/>
    <w:qFormat/>
    <w:uiPriority w:val="22"/>
    <w:rPr>
      <w:b/>
      <w:bCs/>
    </w:rPr>
  </w:style>
  <w:style w:type="character" w:styleId="15">
    <w:name w:val="Hyperlink"/>
    <w:basedOn w:val="13"/>
    <w:qFormat/>
    <w:uiPriority w:val="0"/>
    <w:rPr>
      <w:color w:val="0000FF"/>
      <w:u w:val="single"/>
    </w:rPr>
  </w:style>
  <w:style w:type="paragraph" w:customStyle="1" w:styleId="16">
    <w:name w:val="本文正文"/>
    <w:basedOn w:val="1"/>
    <w:qFormat/>
    <w:uiPriority w:val="0"/>
    <w:pPr>
      <w:spacing w:line="360" w:lineRule="auto"/>
      <w:ind w:firstLine="803"/>
    </w:pPr>
    <w:rPr>
      <w:rFonts w:ascii="宋体" w:hAnsi="宋体"/>
      <w:sz w:val="24"/>
    </w:rPr>
  </w:style>
  <w:style w:type="character" w:customStyle="1" w:styleId="17">
    <w:name w:val="页眉 字符"/>
    <w:basedOn w:val="13"/>
    <w:link w:val="8"/>
    <w:qFormat/>
    <w:uiPriority w:val="0"/>
    <w:rPr>
      <w:rFonts w:ascii="Calibri" w:hAnsi="Calibri" w:eastAsia="仿宋_GB2312"/>
      <w:kern w:val="2"/>
      <w:sz w:val="18"/>
      <w:szCs w:val="18"/>
    </w:rPr>
  </w:style>
  <w:style w:type="character" w:customStyle="1" w:styleId="18">
    <w:name w:val="页脚 字符"/>
    <w:basedOn w:val="13"/>
    <w:link w:val="7"/>
    <w:qFormat/>
    <w:uiPriority w:val="0"/>
    <w:rPr>
      <w:rFonts w:ascii="Calibri" w:hAnsi="Calibri" w:eastAsia="仿宋_GB2312"/>
      <w:kern w:val="2"/>
      <w:sz w:val="18"/>
      <w:szCs w:val="18"/>
    </w:rPr>
  </w:style>
  <w:style w:type="character" w:customStyle="1" w:styleId="19">
    <w:name w:val="标题 2 字符"/>
    <w:basedOn w:val="13"/>
    <w:link w:val="4"/>
    <w:semiHidden/>
    <w:qFormat/>
    <w:uiPriority w:val="0"/>
    <w:rPr>
      <w:rFonts w:asciiTheme="majorHAnsi" w:hAnsiTheme="majorHAnsi" w:eastAsiaTheme="majorEastAsia" w:cstheme="majorBidi"/>
      <w:b/>
      <w:bCs/>
      <w:kern w:val="2"/>
      <w:sz w:val="32"/>
      <w:szCs w:val="32"/>
    </w:rPr>
  </w:style>
  <w:style w:type="paragraph" w:customStyle="1" w:styleId="20">
    <w:name w:val="列出段落2"/>
    <w:basedOn w:val="1"/>
    <w:qFormat/>
    <w:uiPriority w:val="34"/>
    <w:pPr>
      <w:ind w:firstLine="420" w:firstLineChars="200"/>
    </w:pPr>
  </w:style>
  <w:style w:type="character" w:customStyle="1" w:styleId="21">
    <w:name w:val="标题 3 字符"/>
    <w:basedOn w:val="13"/>
    <w:link w:val="2"/>
    <w:qFormat/>
    <w:uiPriority w:val="0"/>
    <w:rPr>
      <w:rFonts w:hint="default" w:ascii="Calibri" w:hAnsi="Calibri" w:cs="Calibri"/>
      <w:b/>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7</Pages>
  <Words>3436</Words>
  <Characters>3642</Characters>
  <Lines>28</Lines>
  <Paragraphs>8</Paragraphs>
  <TotalTime>50</TotalTime>
  <ScaleCrop>false</ScaleCrop>
  <LinksUpToDate>false</LinksUpToDate>
  <CharactersWithSpaces>3679</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2020-12-18T06:54:00Z</dcterms:created>
  <dc:creator>zhenyongwen</dc:creator>
  <cp:lastModifiedBy>韦慧勤</cp:lastModifiedBy>
  <dcterms:modified xsi:type="dcterms:W3CDTF">2022-05-25T05:43:12Z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2BCBADEB164F420AB7CA92621D404113</vt:lpwstr>
  </property>
  <property fmtid="{D5CDD505-2E9C-101B-9397-08002B2CF9AE}" pid="4" name="commondata">
    <vt:lpwstr>eyJoZGlkIjoiMzFkNWY3MDE3M2RiODhiZTRhOWM0N2VmNTEzZWI5MGUifQ==</vt:lpwstr>
  </property>
</Properties>
</file>