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color w:val="auto"/>
          <w:kern w:val="0"/>
          <w:szCs w:val="32"/>
          <w:lang w:eastAsia="zh-CN"/>
        </w:rPr>
      </w:pPr>
      <w:r>
        <w:rPr>
          <w:rFonts w:hint="eastAsia" w:ascii="黑体" w:hAnsi="黑体" w:eastAsia="黑体" w:cs="Arial"/>
          <w:color w:val="auto"/>
          <w:kern w:val="0"/>
          <w:szCs w:val="32"/>
        </w:rPr>
        <w:t>附件</w:t>
      </w:r>
      <w:r>
        <w:rPr>
          <w:rFonts w:hint="eastAsia" w:ascii="黑体" w:hAnsi="黑体" w:eastAsia="黑体" w:cs="Arial"/>
          <w:color w:val="auto"/>
          <w:kern w:val="0"/>
          <w:szCs w:val="32"/>
          <w:lang w:val="en-US" w:eastAsia="zh-CN"/>
        </w:rPr>
        <w:t>2</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方正小标宋简体" w:hAnsi="方正小标宋简体" w:eastAsia="方正小标宋简体" w:cs="方正小标宋简体"/>
          <w:color w:val="auto"/>
          <w:spacing w:val="-12"/>
          <w:sz w:val="44"/>
          <w:szCs w:val="44"/>
        </w:rPr>
      </w:pPr>
      <w:r>
        <w:rPr>
          <w:rFonts w:hint="eastAsia" w:ascii="华文中宋" w:hAnsi="华文中宋" w:eastAsia="华文中宋" w:cs="华文中宋"/>
          <w:color w:val="auto"/>
          <w:spacing w:val="-12"/>
          <w:sz w:val="44"/>
          <w:szCs w:val="44"/>
        </w:rPr>
        <w:t>部分不合格项目小知识</w:t>
      </w:r>
    </w:p>
    <w:p>
      <w:pPr>
        <w:pStyle w:val="11"/>
        <w:keepNext w:val="0"/>
        <w:keepLines w:val="0"/>
        <w:pageBreakBefore w:val="0"/>
        <w:kinsoku/>
        <w:wordWrap/>
        <w:overflowPunct/>
        <w:topLinePunct w:val="0"/>
        <w:autoSpaceDE/>
        <w:autoSpaceDN/>
        <w:bidi w:val="0"/>
        <w:adjustRightInd/>
        <w:snapToGrid/>
        <w:spacing w:after="0" w:line="560" w:lineRule="exact"/>
        <w:ind w:left="640" w:firstLine="480"/>
        <w:textAlignment w:val="auto"/>
        <w:rPr>
          <w:color w:val="auto"/>
        </w:rPr>
      </w:pP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黑体" w:hAnsi="黑体" w:eastAsia="黑体" w:cs="黑体"/>
          <w:b w:val="0"/>
          <w:bCs w:val="0"/>
          <w:color w:val="auto"/>
          <w:szCs w:val="32"/>
        </w:rPr>
      </w:pPr>
      <w:r>
        <w:rPr>
          <w:rFonts w:hint="eastAsia" w:ascii="黑体" w:hAnsi="黑体" w:eastAsia="黑体" w:cs="黑体"/>
          <w:b w:val="0"/>
          <w:bCs w:val="0"/>
          <w:color w:val="auto"/>
          <w:szCs w:val="32"/>
        </w:rPr>
        <w:t>一、不合格项目小知识</w:t>
      </w:r>
    </w:p>
    <w:p>
      <w:pPr>
        <w:spacing w:line="560" w:lineRule="exact"/>
        <w:ind w:firstLine="642" w:firstLineChars="200"/>
        <w:rPr>
          <w:rFonts w:hint="eastAsia" w:ascii="楷体_GB2312" w:hAnsi="楷体" w:eastAsia="楷体_GB2312" w:cs="仿宋_GB2312"/>
          <w:b/>
          <w:color w:val="auto"/>
          <w:sz w:val="32"/>
          <w:szCs w:val="32"/>
          <w:lang w:eastAsia="zh-CN"/>
        </w:rPr>
      </w:pPr>
      <w:r>
        <w:rPr>
          <w:rFonts w:hint="eastAsia" w:ascii="楷体_GB2312" w:hAnsi="楷体" w:eastAsia="楷体_GB2312" w:cs="仿宋_GB2312"/>
          <w:b/>
          <w:color w:val="auto"/>
          <w:sz w:val="32"/>
          <w:szCs w:val="32"/>
          <w:lang w:eastAsia="zh-CN"/>
        </w:rPr>
        <w:t>（</w:t>
      </w:r>
      <w:r>
        <w:rPr>
          <w:rFonts w:hint="eastAsia" w:ascii="楷体_GB2312" w:hAnsi="楷体" w:eastAsia="楷体_GB2312" w:cs="仿宋_GB2312"/>
          <w:b/>
          <w:color w:val="auto"/>
          <w:sz w:val="32"/>
          <w:szCs w:val="32"/>
          <w:lang w:val="en-US" w:eastAsia="zh-CN"/>
        </w:rPr>
        <w:t>一</w:t>
      </w:r>
      <w:r>
        <w:rPr>
          <w:rFonts w:hint="eastAsia" w:ascii="楷体_GB2312" w:hAnsi="楷体" w:eastAsia="楷体_GB2312" w:cs="仿宋_GB2312"/>
          <w:b/>
          <w:color w:val="auto"/>
          <w:sz w:val="32"/>
          <w:szCs w:val="32"/>
          <w:lang w:eastAsia="zh-CN"/>
        </w:rPr>
        <w:t>）二氧化硫残留量</w:t>
      </w:r>
    </w:p>
    <w:p>
      <w:pPr>
        <w:spacing w:line="560" w:lineRule="exact"/>
        <w:ind w:firstLine="640" w:firstLineChars="200"/>
        <w:rPr>
          <w:color w:val="auto"/>
        </w:rPr>
      </w:pPr>
      <w:r>
        <w:rPr>
          <w:rFonts w:hint="eastAsia" w:ascii="仿宋_GB2312" w:hAnsi="仿宋" w:eastAsia="仿宋_GB2312" w:cs="宋体"/>
          <w:color w:val="auto"/>
          <w:kern w:val="0"/>
          <w:sz w:val="32"/>
          <w:szCs w:val="32"/>
        </w:rPr>
        <w:t>食品中的二氧化硫残留通常是指二氧化硫、硫磺以及焦亚硫酸钠、焦亚硫酸钾、亚硫酸钠、亚硫酸氢钠、低亚硫酸钠等无机亚硫酸盐残留的统称。</w:t>
      </w:r>
      <w:r>
        <w:rPr>
          <w:rFonts w:hint="eastAsia" w:ascii="仿宋_GB2312" w:hAnsi="仿宋" w:eastAsia="仿宋_GB2312"/>
          <w:color w:val="auto"/>
          <w:sz w:val="32"/>
          <w:szCs w:val="32"/>
        </w:rPr>
        <w:t>《食品安全国家标准 食品添加剂使用标准》（GB 2760-2014）中规定，干制蔬菜中二氧化硫残留量应≤0.2g/kg。</w:t>
      </w:r>
      <w:r>
        <w:rPr>
          <w:rFonts w:hint="eastAsia" w:ascii="仿宋_GB2312" w:hAnsi="仿宋" w:eastAsia="仿宋_GB2312" w:cs="宋体"/>
          <w:color w:val="auto"/>
          <w:kern w:val="0"/>
          <w:sz w:val="32"/>
          <w:szCs w:val="32"/>
        </w:rPr>
        <w:t>对二氧化硫有过敏反应的人（如哮喘病患者等）若食用二氧化硫超标的食物，可能会出现气喘、头痛或恶心等过敏症状。若长期大量摄入二氧化硫残留超标的食品，则可能对人体健康造成危害，其毒性表现为胃肠道反应，如恶心、呕吐等。此外，还会影响钙吸收，使机体钙丢失。</w:t>
      </w:r>
    </w:p>
    <w:p>
      <w:pPr>
        <w:spacing w:line="560" w:lineRule="exact"/>
        <w:ind w:firstLine="642" w:firstLineChars="200"/>
        <w:rPr>
          <w:rFonts w:hint="eastAsia" w:ascii="楷体_GB2312" w:hAnsi="楷体" w:eastAsia="楷体_GB2312" w:cs="仿宋_GB2312"/>
          <w:b/>
          <w:sz w:val="32"/>
          <w:szCs w:val="32"/>
          <w:lang w:eastAsia="zh-CN"/>
        </w:rPr>
      </w:pPr>
      <w:r>
        <w:rPr>
          <w:rFonts w:hint="eastAsia" w:ascii="楷体_GB2312" w:hAnsi="楷体" w:eastAsia="楷体_GB2312" w:cs="仿宋_GB2312"/>
          <w:b/>
          <w:sz w:val="32"/>
          <w:szCs w:val="32"/>
          <w:lang w:eastAsia="zh-CN"/>
        </w:rPr>
        <w:t>（</w:t>
      </w:r>
      <w:r>
        <w:rPr>
          <w:rFonts w:hint="eastAsia" w:ascii="楷体_GB2312" w:hAnsi="楷体" w:eastAsia="楷体_GB2312" w:cs="仿宋_GB2312"/>
          <w:b/>
          <w:sz w:val="32"/>
          <w:szCs w:val="32"/>
          <w:lang w:val="en-US" w:eastAsia="zh-CN"/>
        </w:rPr>
        <w:t>二</w:t>
      </w:r>
      <w:r>
        <w:rPr>
          <w:rFonts w:hint="eastAsia" w:ascii="楷体_GB2312" w:hAnsi="楷体" w:eastAsia="楷体_GB2312" w:cs="仿宋_GB2312"/>
          <w:b/>
          <w:sz w:val="32"/>
          <w:szCs w:val="32"/>
          <w:lang w:eastAsia="zh-CN"/>
        </w:rPr>
        <w:t>）大肠菌群</w:t>
      </w:r>
    </w:p>
    <w:p>
      <w:pPr>
        <w:widowControl/>
        <w:jc w:val="both"/>
        <w:rPr>
          <w:rFonts w:hint="eastAsia" w:ascii="仿宋_GB2312" w:hAnsi="仿宋" w:eastAsia="仿宋_GB2312"/>
          <w:color w:val="auto"/>
          <w:sz w:val="32"/>
          <w:szCs w:val="32"/>
        </w:rPr>
      </w:pPr>
      <w:r>
        <w:rPr>
          <w:rFonts w:ascii="仿宋_GB2312" w:hAnsi="仿宋" w:eastAsia="仿宋_GB2312"/>
          <w:sz w:val="32"/>
          <w:szCs w:val="32"/>
          <w:lang w:val="zh-CN"/>
        </w:rPr>
        <w:t>大肠菌群是国内外通用的食品污染常用指示菌之一。</w:t>
      </w:r>
      <w:r>
        <w:rPr>
          <w:rFonts w:hint="eastAsia" w:ascii="仿宋_GB2312" w:hAnsi="仿宋" w:eastAsia="仿宋_GB2312"/>
          <w:sz w:val="32"/>
          <w:szCs w:val="32"/>
          <w:lang w:val="zh-CN"/>
        </w:rPr>
        <w:t>食品中检出大肠菌群，提示被致病菌（如沙门氏菌、志贺氏菌、致病性大肠杆菌）污染的可能性较大。</w:t>
      </w:r>
      <w:r>
        <w:rPr>
          <w:rFonts w:ascii="仿宋_GB2312" w:hAnsi="仿宋" w:eastAsia="仿宋_GB2312"/>
          <w:sz w:val="32"/>
          <w:szCs w:val="32"/>
          <w:lang w:val="zh-CN"/>
        </w:rPr>
        <w:t>《食品安全国家标</w:t>
      </w:r>
      <w:r>
        <w:rPr>
          <w:rFonts w:hint="eastAsia" w:ascii="仿宋_GB2312" w:hAnsi="仿宋" w:eastAsia="仿宋_GB2312"/>
          <w:sz w:val="32"/>
          <w:szCs w:val="32"/>
          <w:lang w:val="zh-CN"/>
        </w:rPr>
        <w:t>准 消毒餐（饮）具</w:t>
      </w:r>
      <w:r>
        <w:rPr>
          <w:rFonts w:ascii="仿宋_GB2312" w:hAnsi="仿宋" w:eastAsia="仿宋_GB2312"/>
          <w:sz w:val="32"/>
          <w:szCs w:val="32"/>
          <w:lang w:val="zh-CN"/>
        </w:rPr>
        <w:t xml:space="preserve">》（GB </w:t>
      </w:r>
      <w:r>
        <w:rPr>
          <w:rFonts w:hint="eastAsia" w:ascii="仿宋_GB2312" w:hAnsi="仿宋" w:eastAsia="仿宋_GB2312"/>
          <w:sz w:val="32"/>
          <w:szCs w:val="32"/>
          <w:lang w:val="zh-CN"/>
        </w:rPr>
        <w:t>14934</w:t>
      </w:r>
      <w:r>
        <w:rPr>
          <w:rFonts w:hint="eastAsia" w:ascii="仿宋_GB2312" w:hAnsi="仿宋" w:eastAsia="仿宋_GB2312"/>
          <w:color w:val="auto"/>
          <w:sz w:val="32"/>
          <w:szCs w:val="32"/>
          <w:lang w:val="en-US" w:eastAsia="zh-CN"/>
        </w:rPr>
        <w:t>-</w:t>
      </w:r>
      <w:r>
        <w:rPr>
          <w:rFonts w:ascii="仿宋_GB2312" w:hAnsi="仿宋" w:eastAsia="仿宋_GB2312"/>
          <w:sz w:val="32"/>
          <w:szCs w:val="32"/>
          <w:lang w:val="zh-CN"/>
        </w:rPr>
        <w:t>201</w:t>
      </w:r>
      <w:r>
        <w:rPr>
          <w:rFonts w:hint="eastAsia" w:ascii="仿宋_GB2312" w:hAnsi="仿宋" w:eastAsia="仿宋_GB2312"/>
          <w:sz w:val="32"/>
          <w:szCs w:val="32"/>
          <w:lang w:val="zh-CN"/>
        </w:rPr>
        <w:t>6</w:t>
      </w:r>
      <w:r>
        <w:rPr>
          <w:rFonts w:ascii="仿宋_GB2312" w:hAnsi="仿宋" w:eastAsia="仿宋_GB2312"/>
          <w:sz w:val="32"/>
          <w:szCs w:val="32"/>
          <w:lang w:val="zh-CN"/>
        </w:rPr>
        <w:t>）中规定，</w:t>
      </w:r>
      <w:r>
        <w:rPr>
          <w:rFonts w:hint="eastAsia" w:ascii="仿宋_GB2312" w:hAnsi="仿宋" w:eastAsia="仿宋_GB2312"/>
          <w:sz w:val="32"/>
          <w:szCs w:val="32"/>
          <w:lang w:val="zh-CN"/>
        </w:rPr>
        <w:t>消毒餐（饮）具（每50</w:t>
      </w:r>
      <w:r>
        <w:rPr>
          <w:rFonts w:hint="eastAsia" w:ascii="仿宋_GB2312" w:hAnsi="仿宋" w:eastAsia="仿宋_GB2312"/>
          <w:sz w:val="32"/>
          <w:szCs w:val="32"/>
          <w:lang w:val="en-US" w:eastAsia="zh-CN"/>
        </w:rPr>
        <w:t>c</w:t>
      </w:r>
      <w:r>
        <w:rPr>
          <w:rFonts w:hint="eastAsia" w:ascii="仿宋_GB2312" w:hAnsi="仿宋" w:eastAsia="仿宋_GB2312"/>
          <w:sz w:val="32"/>
          <w:szCs w:val="32"/>
          <w:lang w:val="zh-CN"/>
        </w:rPr>
        <w:t>m</w:t>
      </w:r>
      <w:r>
        <w:rPr>
          <w:rFonts w:hint="eastAsia" w:ascii="仿宋_GB2312" w:hAnsi="仿宋" w:eastAsia="仿宋_GB2312"/>
          <w:color w:val="auto"/>
          <w:sz w:val="32"/>
          <w:szCs w:val="32"/>
          <w:vertAlign w:val="superscript"/>
          <w:lang w:val="zh-CN"/>
        </w:rPr>
        <w:t>2</w:t>
      </w:r>
      <w:r>
        <w:rPr>
          <w:rFonts w:hint="eastAsia" w:ascii="仿宋_GB2312" w:hAnsi="仿宋" w:eastAsia="仿宋_GB2312"/>
          <w:sz w:val="32"/>
          <w:szCs w:val="32"/>
          <w:lang w:val="zh-CN"/>
        </w:rPr>
        <w:t>）中不得检出大肠菌群。</w:t>
      </w:r>
      <w:r>
        <w:rPr>
          <w:rFonts w:hint="eastAsia" w:ascii="仿宋_GB2312" w:hAnsi="仿宋" w:eastAsia="仿宋_GB2312"/>
          <w:sz w:val="32"/>
          <w:szCs w:val="32"/>
          <w:lang w:val="zh-CN" w:eastAsia="zh-CN"/>
        </w:rPr>
        <w:t>本次抽检不合格产品所执行企业标准</w:t>
      </w:r>
      <w:r>
        <w:rPr>
          <w:rFonts w:hint="eastAsia" w:ascii="仿宋_GB2312" w:hAnsi="仿宋" w:eastAsia="仿宋_GB2312"/>
          <w:sz w:val="32"/>
          <w:szCs w:val="32"/>
          <w:lang w:val="en-US" w:eastAsia="zh-CN"/>
        </w:rPr>
        <w:t>中规定</w:t>
      </w:r>
      <w:r>
        <w:rPr>
          <w:rFonts w:hint="eastAsia" w:ascii="仿宋_GB2312" w:hAnsi="仿宋"/>
          <w:sz w:val="32"/>
          <w:szCs w:val="32"/>
          <w:lang w:val="en-US" w:eastAsia="zh-CN"/>
        </w:rPr>
        <w:t>，</w:t>
      </w:r>
      <w:r>
        <w:rPr>
          <w:rFonts w:hint="eastAsia" w:ascii="仿宋_GB2312" w:hAnsi="仿宋" w:eastAsia="仿宋_GB2312"/>
          <w:sz w:val="32"/>
          <w:szCs w:val="32"/>
        </w:rPr>
        <w:t>从一批产品中采集5个样品，若5个样品的检验结果均小于或等于m值（≤</w:t>
      </w:r>
      <w:r>
        <w:rPr>
          <w:rFonts w:hint="eastAsia" w:ascii="仿宋_GB2312" w:hAnsi="仿宋" w:eastAsia="仿宋_GB2312"/>
          <w:color w:val="000000"/>
          <w:sz w:val="32"/>
          <w:szCs w:val="32"/>
        </w:rPr>
        <w:t>10</w:t>
      </w:r>
      <w:r>
        <w:rPr>
          <w:rFonts w:hint="eastAsia" w:ascii="仿宋_GB2312" w:hAnsi="仿宋"/>
          <w:color w:val="000000"/>
          <w:sz w:val="32"/>
          <w:szCs w:val="32"/>
          <w:vertAlign w:val="superscript"/>
          <w:lang w:val="en-US" w:eastAsia="zh-CN"/>
        </w:rPr>
        <w:t>3</w:t>
      </w:r>
      <w:r>
        <w:rPr>
          <w:rFonts w:hint="eastAsia" w:ascii="仿宋_GB2312" w:hAnsi="仿宋" w:eastAsia="仿宋_GB2312"/>
          <w:sz w:val="32"/>
          <w:szCs w:val="32"/>
        </w:rPr>
        <w:t>CFU/g），则这种情况是允许的；若≤2个样品的结果（X）位于m值和M值之间（</w:t>
      </w:r>
      <w:r>
        <w:rPr>
          <w:rFonts w:hint="eastAsia" w:ascii="仿宋_GB2312" w:hAnsi="仿宋" w:eastAsia="仿宋_GB2312"/>
          <w:color w:val="000000"/>
          <w:sz w:val="32"/>
          <w:szCs w:val="32"/>
        </w:rPr>
        <w:t>10</w:t>
      </w:r>
      <w:r>
        <w:rPr>
          <w:rFonts w:hint="eastAsia" w:ascii="仿宋_GB2312" w:hAnsi="仿宋"/>
          <w:color w:val="000000"/>
          <w:sz w:val="32"/>
          <w:szCs w:val="32"/>
          <w:vertAlign w:val="superscript"/>
          <w:lang w:val="en-US" w:eastAsia="zh-CN"/>
        </w:rPr>
        <w:t>3</w:t>
      </w:r>
      <w:r>
        <w:rPr>
          <w:rFonts w:hint="eastAsia" w:ascii="仿宋_GB2312" w:hAnsi="仿宋" w:eastAsia="仿宋_GB2312"/>
          <w:sz w:val="32"/>
          <w:szCs w:val="32"/>
        </w:rPr>
        <w:t>CFU/g＜X≤</w:t>
      </w:r>
      <w:r>
        <w:rPr>
          <w:rFonts w:hint="eastAsia" w:ascii="仿宋_GB2312" w:hAnsi="仿宋" w:eastAsia="仿宋_GB2312"/>
          <w:color w:val="000000"/>
          <w:sz w:val="32"/>
          <w:szCs w:val="32"/>
        </w:rPr>
        <w:t>10</w:t>
      </w:r>
      <w:r>
        <w:rPr>
          <w:rFonts w:hint="eastAsia" w:ascii="仿宋_GB2312" w:hAnsi="仿宋"/>
          <w:color w:val="000000"/>
          <w:sz w:val="32"/>
          <w:szCs w:val="32"/>
          <w:vertAlign w:val="superscript"/>
          <w:lang w:val="en-US" w:eastAsia="zh-CN"/>
        </w:rPr>
        <w:t>5</w:t>
      </w:r>
      <w:r>
        <w:rPr>
          <w:rFonts w:hint="eastAsia" w:ascii="仿宋_GB2312" w:hAnsi="仿宋" w:eastAsia="仿宋_GB2312"/>
          <w:sz w:val="32"/>
          <w:szCs w:val="32"/>
        </w:rPr>
        <w:t>CFU/g）,则这种情况也是允许的；若有3个及以上的样品检验结果位于m值和M值之间，则这种情况是不允许的；若有任一样品的检验结果大于M值（＞</w:t>
      </w:r>
      <w:r>
        <w:rPr>
          <w:rFonts w:hint="eastAsia" w:ascii="仿宋_GB2312" w:hAnsi="仿宋" w:eastAsia="仿宋_GB2312"/>
          <w:color w:val="000000"/>
          <w:sz w:val="32"/>
          <w:szCs w:val="32"/>
        </w:rPr>
        <w:t>10</w:t>
      </w:r>
      <w:r>
        <w:rPr>
          <w:rFonts w:hint="eastAsia" w:ascii="仿宋_GB2312" w:hAnsi="仿宋"/>
          <w:color w:val="000000"/>
          <w:sz w:val="32"/>
          <w:szCs w:val="32"/>
          <w:vertAlign w:val="superscript"/>
          <w:lang w:val="en-US" w:eastAsia="zh-CN"/>
        </w:rPr>
        <w:t>5</w:t>
      </w:r>
      <w:r>
        <w:rPr>
          <w:rFonts w:hint="eastAsia" w:ascii="仿宋_GB2312" w:hAnsi="仿宋" w:eastAsia="仿宋_GB2312"/>
          <w:sz w:val="32"/>
          <w:szCs w:val="32"/>
        </w:rPr>
        <w:t>CFU/g），则这种情况也是不允许的。</w:t>
      </w:r>
      <w:r>
        <w:rPr>
          <w:rFonts w:hint="eastAsia" w:ascii="仿宋_GB2312" w:hAnsi="仿宋" w:eastAsia="仿宋_GB2312"/>
          <w:color w:val="auto"/>
          <w:sz w:val="32"/>
          <w:szCs w:val="32"/>
        </w:rPr>
        <w:t>就餐者使用了大肠菌群不合格的餐饮具</w:t>
      </w:r>
      <w:r>
        <w:rPr>
          <w:rFonts w:hint="eastAsia" w:ascii="仿宋_GB2312" w:hAnsi="仿宋"/>
          <w:color w:val="auto"/>
          <w:sz w:val="32"/>
          <w:szCs w:val="32"/>
          <w:lang w:val="en-US" w:eastAsia="zh-CN"/>
        </w:rPr>
        <w:t>或食用了大肠菌群不合格的食品</w:t>
      </w:r>
      <w:r>
        <w:rPr>
          <w:rFonts w:hint="eastAsia" w:ascii="仿宋_GB2312" w:hAnsi="仿宋" w:eastAsia="仿宋_GB2312"/>
          <w:color w:val="auto"/>
          <w:sz w:val="32"/>
          <w:szCs w:val="32"/>
        </w:rPr>
        <w:t>，可能会出现呕吐、腹泻等消化道疾病。</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三</w:t>
      </w:r>
      <w:r>
        <w:rPr>
          <w:rFonts w:hint="eastAsia" w:ascii="方正楷体_GB2312" w:hAnsi="方正楷体_GB2312" w:eastAsia="方正楷体_GB2312" w:cs="方正楷体_GB2312"/>
          <w:b/>
          <w:sz w:val="32"/>
          <w:szCs w:val="32"/>
          <w:lang w:val="zh-CN" w:eastAsia="zh-CN"/>
        </w:rPr>
        <w:t>）过氧化值</w:t>
      </w:r>
    </w:p>
    <w:p>
      <w:pPr>
        <w:keepNext w:val="0"/>
        <w:keepLines w:val="0"/>
        <w:widowControl/>
        <w:suppressLineNumbers w:val="0"/>
        <w:jc w:val="left"/>
        <w:rPr>
          <w:rFonts w:hint="eastAsia" w:ascii="仿宋_GB2312" w:hAnsi="仿宋" w:eastAsia="仿宋_GB2312" w:cs="仿宋"/>
          <w:color w:val="auto"/>
          <w:kern w:val="2"/>
          <w:sz w:val="32"/>
          <w:szCs w:val="32"/>
          <w:lang w:val="en-US" w:eastAsia="zh-CN" w:bidi="ar-SA"/>
        </w:rPr>
      </w:pPr>
      <w:r>
        <w:rPr>
          <w:rFonts w:hint="eastAsia" w:ascii="仿宋_GB2312" w:hAnsi="仿宋" w:eastAsia="仿宋_GB2312" w:cs="仿宋"/>
          <w:color w:val="auto"/>
          <w:kern w:val="2"/>
          <w:sz w:val="32"/>
          <w:szCs w:val="32"/>
          <w:lang w:val="en-US" w:eastAsia="zh-CN" w:bidi="ar-SA"/>
        </w:rPr>
        <w:t>过氧化值主要反映食品中油脂是否氧化变质。随着油脂被氧化，过氧化值会逐步升高。</w:t>
      </w:r>
      <w:r>
        <w:rPr>
          <w:rFonts w:ascii="仿宋_GB2312" w:hAnsi="仿宋" w:eastAsia="仿宋_GB2312" w:cs="宋体"/>
          <w:kern w:val="0"/>
          <w:sz w:val="32"/>
          <w:szCs w:val="32"/>
          <w:lang w:val="zh-CN"/>
        </w:rPr>
        <w:t>《食品安全国家标准</w:t>
      </w:r>
      <w:r>
        <w:rPr>
          <w:rFonts w:hint="eastAsia" w:ascii="仿宋_GB2312" w:hAnsi="仿宋" w:eastAsia="仿宋_GB2312" w:cs="宋体"/>
          <w:kern w:val="0"/>
          <w:sz w:val="32"/>
          <w:szCs w:val="32"/>
          <w:lang w:val="zh-CN"/>
        </w:rPr>
        <w:t xml:space="preserve"> </w:t>
      </w:r>
      <w:r>
        <w:rPr>
          <w:rFonts w:hint="eastAsia" w:ascii="仿宋_GB2312" w:hAnsi="仿宋" w:cs="宋体"/>
          <w:kern w:val="0"/>
          <w:sz w:val="32"/>
          <w:szCs w:val="32"/>
          <w:lang w:val="en-US" w:eastAsia="zh-CN"/>
        </w:rPr>
        <w:t>腌腊肉制品</w:t>
      </w:r>
      <w:r>
        <w:rPr>
          <w:rFonts w:ascii="仿宋_GB2312" w:hAnsi="仿宋" w:eastAsia="仿宋_GB2312" w:cs="宋体"/>
          <w:kern w:val="0"/>
          <w:sz w:val="32"/>
          <w:szCs w:val="32"/>
          <w:lang w:val="zh-CN"/>
        </w:rPr>
        <w:t xml:space="preserve">》（GB </w:t>
      </w:r>
      <w:r>
        <w:rPr>
          <w:rFonts w:hint="eastAsia" w:ascii="仿宋_GB2312" w:hAnsi="仿宋" w:cs="宋体"/>
          <w:kern w:val="0"/>
          <w:sz w:val="32"/>
          <w:szCs w:val="32"/>
          <w:lang w:val="en-US" w:eastAsia="zh-CN"/>
        </w:rPr>
        <w:t>2730</w:t>
      </w:r>
      <w:r>
        <w:rPr>
          <w:rFonts w:hint="eastAsia" w:ascii="仿宋_GB2312" w:hAnsi="仿宋" w:eastAsia="仿宋_GB2312" w:cs="宋体"/>
          <w:kern w:val="0"/>
          <w:sz w:val="32"/>
          <w:szCs w:val="32"/>
          <w:lang w:val="zh-CN"/>
        </w:rPr>
        <w:t>-201</w:t>
      </w:r>
      <w:r>
        <w:rPr>
          <w:rFonts w:hint="eastAsia" w:ascii="仿宋_GB2312" w:hAnsi="仿宋" w:cs="宋体"/>
          <w:kern w:val="0"/>
          <w:sz w:val="32"/>
          <w:szCs w:val="32"/>
          <w:lang w:val="en-US" w:eastAsia="zh-CN"/>
        </w:rPr>
        <w:t>5</w:t>
      </w:r>
      <w:r>
        <w:rPr>
          <w:rFonts w:ascii="仿宋_GB2312" w:hAnsi="仿宋" w:eastAsia="仿宋_GB2312" w:cs="宋体"/>
          <w:kern w:val="0"/>
          <w:sz w:val="32"/>
          <w:szCs w:val="32"/>
          <w:lang w:val="zh-CN"/>
        </w:rPr>
        <w:t>）中</w:t>
      </w:r>
      <w:r>
        <w:rPr>
          <w:rFonts w:hint="eastAsia" w:ascii="仿宋_GB2312" w:hAnsi="仿宋" w:eastAsia="仿宋_GB2312" w:cs="仿宋"/>
          <w:color w:val="auto"/>
          <w:kern w:val="2"/>
          <w:sz w:val="32"/>
          <w:szCs w:val="32"/>
          <w:lang w:val="zh-CN" w:eastAsia="zh-CN" w:bidi="ar-SA"/>
        </w:rPr>
        <w:t>规定，</w:t>
      </w:r>
      <w:r>
        <w:rPr>
          <w:rFonts w:hint="eastAsia" w:ascii="仿宋_GB2312" w:hAnsi="仿宋" w:eastAsia="仿宋_GB2312" w:cs="仿宋"/>
          <w:color w:val="auto"/>
          <w:kern w:val="2"/>
          <w:sz w:val="32"/>
          <w:szCs w:val="32"/>
          <w:lang w:val="en-US" w:eastAsia="zh-CN" w:bidi="ar-SA"/>
        </w:rPr>
        <w:t>火腿、腊肉、咸肉、香（腊）肠中</w:t>
      </w:r>
      <w:r>
        <w:rPr>
          <w:rFonts w:hint="eastAsia" w:ascii="仿宋_GB2312" w:hAnsi="仿宋" w:eastAsia="仿宋_GB2312" w:cs="仿宋"/>
          <w:color w:val="auto"/>
          <w:kern w:val="2"/>
          <w:sz w:val="32"/>
          <w:szCs w:val="32"/>
          <w:lang w:val="zh-CN" w:eastAsia="zh-CN" w:bidi="ar-SA"/>
        </w:rPr>
        <w:t>过氧化值应</w:t>
      </w:r>
      <w:r>
        <w:rPr>
          <w:rFonts w:hint="eastAsia" w:ascii="仿宋_GB2312" w:hAnsi="仿宋" w:eastAsia="仿宋_GB2312" w:cs="仿宋"/>
          <w:color w:val="auto"/>
          <w:kern w:val="2"/>
          <w:sz w:val="32"/>
          <w:szCs w:val="32"/>
          <w:lang w:val="en-US" w:eastAsia="zh-CN" w:bidi="ar-SA"/>
        </w:rPr>
        <w:t>≤0.5g/100g。食用过氧化值过高的食品可能会导致肠胃不适、腹泻等症状。</w:t>
      </w:r>
    </w:p>
    <w:p>
      <w:pPr>
        <w:spacing w:line="560" w:lineRule="exact"/>
        <w:ind w:firstLine="642" w:firstLineChars="200"/>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四</w:t>
      </w:r>
      <w:r>
        <w:rPr>
          <w:rFonts w:hint="eastAsia" w:ascii="方正楷体_GB2312" w:hAnsi="方正楷体_GB2312" w:eastAsia="方正楷体_GB2312" w:cs="方正楷体_GB2312"/>
          <w:b/>
          <w:bCs w:val="0"/>
          <w:sz w:val="32"/>
          <w:szCs w:val="32"/>
          <w:lang w:val="zh-CN" w:eastAsia="zh-CN"/>
        </w:rPr>
        <w:t>）菌落总数</w:t>
      </w:r>
    </w:p>
    <w:p>
      <w:pPr>
        <w:spacing w:line="560" w:lineRule="exact"/>
        <w:ind w:firstLine="640" w:firstLineChars="200"/>
        <w:rPr>
          <w:rFonts w:hint="eastAsia" w:ascii="仿宋_GB2312" w:hAnsi="仿宋" w:eastAsia="仿宋_GB2312" w:cs="华文中宋"/>
          <w:color w:val="auto"/>
          <w:kern w:val="2"/>
          <w:sz w:val="32"/>
          <w:szCs w:val="32"/>
          <w:lang w:val="en-US" w:eastAsia="zh-CN" w:bidi="ar-SA"/>
        </w:rPr>
      </w:pPr>
      <w:r>
        <w:rPr>
          <w:rFonts w:hint="eastAsia" w:ascii="仿宋_GB2312" w:hAnsi="仿宋" w:eastAsia="仿宋_GB2312" w:cs="华文中宋"/>
          <w:color w:val="auto"/>
          <w:kern w:val="2"/>
          <w:sz w:val="32"/>
          <w:szCs w:val="32"/>
          <w:lang w:val="en-US" w:eastAsia="zh-CN" w:bidi="ar-SA"/>
        </w:rPr>
        <w:t>菌落总数是指示性微生物指标，并非致病菌指标，主要用来评价食品清洁度，反映食品在生产过程中是否符合卫生要求，一定程度上标志着食品卫生质量的优劣。</w:t>
      </w:r>
      <w:r>
        <w:rPr>
          <w:rFonts w:hint="eastAsia" w:ascii="仿宋_GB2312" w:hAnsi="仿宋" w:eastAsia="仿宋_GB2312"/>
          <w:color w:val="000000" w:themeColor="text1"/>
          <w:sz w:val="32"/>
          <w:szCs w:val="32"/>
          <w14:textFill>
            <w14:solidFill>
              <w14:schemeClr w14:val="tx1"/>
            </w14:solidFill>
          </w14:textFill>
        </w:rPr>
        <w:t>《食品安全国家标准 熟肉制品》</w:t>
      </w:r>
      <w:r>
        <w:rPr>
          <w:rFonts w:hint="eastAsia" w:ascii="仿宋_GB2312" w:hAnsi="仿宋" w:eastAsia="仿宋_GB2312"/>
          <w:color w:val="000000" w:themeColor="text1"/>
          <w:sz w:val="32"/>
          <w:szCs w:val="32"/>
          <w:lang w:eastAsia="zh-CN"/>
          <w14:textFill>
            <w14:solidFill>
              <w14:schemeClr w14:val="tx1"/>
            </w14:solidFill>
          </w14:textFill>
        </w:rPr>
        <w:t>（</w:t>
      </w:r>
      <w:r>
        <w:rPr>
          <w:rFonts w:hint="eastAsia" w:ascii="仿宋_GB2312" w:hAnsi="仿宋" w:eastAsia="仿宋_GB2312"/>
          <w:color w:val="000000" w:themeColor="text1"/>
          <w:sz w:val="32"/>
          <w:szCs w:val="32"/>
          <w14:textFill>
            <w14:solidFill>
              <w14:schemeClr w14:val="tx1"/>
            </w14:solidFill>
          </w14:textFill>
        </w:rPr>
        <w:t>GB 2726-2016</w:t>
      </w:r>
      <w:r>
        <w:rPr>
          <w:rFonts w:hint="eastAsia" w:ascii="仿宋_GB2312" w:hAnsi="仿宋" w:eastAsia="仿宋_GB2312"/>
          <w:color w:val="000000" w:themeColor="text1"/>
          <w:sz w:val="32"/>
          <w:szCs w:val="32"/>
          <w:lang w:eastAsia="zh-CN"/>
          <w14:textFill>
            <w14:solidFill>
              <w14:schemeClr w14:val="tx1"/>
            </w14:solidFill>
          </w14:textFill>
        </w:rPr>
        <w:t>）、</w:t>
      </w:r>
      <w:r>
        <w:rPr>
          <w:rFonts w:hint="eastAsia" w:ascii="仿宋_GB2312" w:hAnsi="仿宋" w:eastAsia="仿宋_GB2312"/>
          <w:sz w:val="32"/>
          <w:szCs w:val="32"/>
          <w:lang w:val="zh-CN"/>
        </w:rPr>
        <w:t xml:space="preserve">《食品安全国家标准 </w:t>
      </w:r>
      <w:r>
        <w:rPr>
          <w:rFonts w:hint="eastAsia" w:ascii="仿宋_GB2312" w:hAnsi="仿宋"/>
          <w:sz w:val="32"/>
          <w:szCs w:val="32"/>
          <w:lang w:val="en-US" w:eastAsia="zh-CN"/>
        </w:rPr>
        <w:t>糕点、面包</w:t>
      </w:r>
      <w:r>
        <w:rPr>
          <w:rFonts w:hint="eastAsia" w:ascii="仿宋_GB2312" w:hAnsi="仿宋" w:eastAsia="仿宋_GB2312"/>
          <w:sz w:val="32"/>
          <w:szCs w:val="32"/>
        </w:rPr>
        <w:t>》</w:t>
      </w:r>
      <w:r>
        <w:rPr>
          <w:rFonts w:hint="eastAsia" w:ascii="仿宋_GB2312" w:hAnsi="仿宋" w:eastAsia="仿宋_GB2312"/>
          <w:sz w:val="32"/>
          <w:szCs w:val="32"/>
          <w:lang w:eastAsia="zh-CN"/>
        </w:rPr>
        <w:t>（</w:t>
      </w:r>
      <w:r>
        <w:rPr>
          <w:rFonts w:hint="eastAsia" w:ascii="仿宋_GB2312" w:hAnsi="仿宋" w:eastAsia="仿宋_GB2312"/>
          <w:sz w:val="32"/>
          <w:szCs w:val="32"/>
        </w:rPr>
        <w:t xml:space="preserve">GB </w:t>
      </w:r>
      <w:r>
        <w:rPr>
          <w:rFonts w:hint="eastAsia" w:ascii="仿宋_GB2312" w:hAnsi="仿宋"/>
          <w:sz w:val="32"/>
          <w:szCs w:val="32"/>
          <w:lang w:val="en-US" w:eastAsia="zh-CN"/>
        </w:rPr>
        <w:t>7099</w:t>
      </w:r>
      <w:r>
        <w:rPr>
          <w:rFonts w:hint="eastAsia" w:ascii="仿宋_GB2312" w:hAnsi="仿宋" w:eastAsia="仿宋_GB2312"/>
          <w:sz w:val="32"/>
          <w:szCs w:val="32"/>
        </w:rPr>
        <w:t>-2015</w:t>
      </w:r>
      <w:r>
        <w:rPr>
          <w:rFonts w:hint="eastAsia" w:ascii="仿宋_GB2312" w:hAnsi="仿宋" w:eastAsia="仿宋_GB2312"/>
          <w:sz w:val="32"/>
          <w:szCs w:val="32"/>
          <w:lang w:eastAsia="zh-CN"/>
        </w:rPr>
        <w:t>）</w:t>
      </w:r>
      <w:r>
        <w:rPr>
          <w:rFonts w:hint="eastAsia" w:ascii="仿宋_GB2312" w:hAnsi="仿宋" w:eastAsia="仿宋_GB2312" w:cs="华文中宋"/>
          <w:color w:val="auto"/>
          <w:kern w:val="2"/>
          <w:sz w:val="32"/>
          <w:szCs w:val="32"/>
          <w:lang w:val="en-US" w:eastAsia="zh-CN" w:bidi="ar-SA"/>
        </w:rPr>
        <w:t>中规定，</w:t>
      </w:r>
      <w:r>
        <w:rPr>
          <w:rFonts w:hint="eastAsia" w:ascii="仿宋_GB2312" w:hAnsi="仿宋" w:eastAsia="仿宋_GB2312"/>
          <w:color w:val="000000" w:themeColor="text1"/>
          <w:sz w:val="32"/>
          <w:szCs w:val="32"/>
          <w14:textFill>
            <w14:solidFill>
              <w14:schemeClr w14:val="tx1"/>
            </w14:solidFill>
          </w14:textFill>
        </w:rPr>
        <w:t>从一批产品中采集5个样品，若5个样品的检验结果均小于或等于m值（≤1</w:t>
      </w:r>
      <w:r>
        <w:rPr>
          <w:rFonts w:hint="eastAsia" w:ascii="仿宋_GB2312" w:hAnsi="仿宋"/>
          <w:color w:val="000000" w:themeColor="text1"/>
          <w:sz w:val="32"/>
          <w:szCs w:val="32"/>
          <w:lang w:val="en-US" w:eastAsia="zh-CN"/>
          <w14:textFill>
            <w14:solidFill>
              <w14:schemeClr w14:val="tx1"/>
            </w14:solidFill>
          </w14:textFill>
        </w:rPr>
        <w:t>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CFU/g），则这种情况是允许的；若</w:t>
      </w:r>
      <w:r>
        <w:rPr>
          <w:rFonts w:hint="eastAsia" w:ascii="仿宋_GB2312" w:hAnsi="仿宋"/>
          <w:color w:val="000000" w:themeColor="text1"/>
          <w:sz w:val="32"/>
          <w:szCs w:val="32"/>
          <w:lang w:val="en-US" w:eastAsia="zh-CN"/>
          <w14:textFill>
            <w14:solidFill>
              <w14:schemeClr w14:val="tx1"/>
            </w14:solidFill>
          </w14:textFill>
        </w:rPr>
        <w:t>有2</w:t>
      </w:r>
      <w:r>
        <w:rPr>
          <w:rFonts w:hint="eastAsia" w:ascii="仿宋_GB2312" w:hAnsi="仿宋" w:eastAsia="仿宋_GB2312"/>
          <w:color w:val="000000" w:themeColor="text1"/>
          <w:sz w:val="32"/>
          <w:szCs w:val="32"/>
          <w14:textFill>
            <w14:solidFill>
              <w14:schemeClr w14:val="tx1"/>
            </w14:solidFill>
          </w14:textFill>
        </w:rPr>
        <w:t>个样品的结果（X）位于m值和M值之间（10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FU/g＜X≤10</w:t>
      </w:r>
      <w:r>
        <w:rPr>
          <w:rFonts w:hint="eastAsia" w:ascii="仿宋_GB2312" w:hAnsi="仿宋"/>
          <w:color w:val="000000" w:themeColor="text1"/>
          <w:sz w:val="32"/>
          <w:szCs w:val="32"/>
          <w:vertAlign w:val="superscript"/>
          <w:lang w:val="en-US" w:eastAsia="zh-CN"/>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CFU/g）,则这种情况也是允许的；若有</w:t>
      </w:r>
      <w:r>
        <w:rPr>
          <w:rFonts w:hint="eastAsia" w:ascii="仿宋_GB2312" w:hAnsi="仿宋"/>
          <w:color w:val="000000" w:themeColor="text1"/>
          <w:sz w:val="32"/>
          <w:szCs w:val="32"/>
          <w:lang w:val="en-US" w:eastAsia="zh-CN"/>
          <w14:textFill>
            <w14:solidFill>
              <w14:schemeClr w14:val="tx1"/>
            </w14:solidFill>
          </w14:textFill>
        </w:rPr>
        <w:t>2</w:t>
      </w:r>
      <w:r>
        <w:rPr>
          <w:rFonts w:hint="eastAsia" w:ascii="仿宋_GB2312" w:hAnsi="仿宋" w:eastAsia="仿宋_GB2312"/>
          <w:color w:val="000000" w:themeColor="text1"/>
          <w:sz w:val="32"/>
          <w:szCs w:val="32"/>
          <w14:textFill>
            <w14:solidFill>
              <w14:schemeClr w14:val="tx1"/>
            </w14:solidFill>
          </w14:textFill>
        </w:rPr>
        <w:t>个以上的样品检验结果位于m值和M值之间，则这种情况是不允许的；若有任一样品的检验结果大于M值（＞</w:t>
      </w:r>
      <w:r>
        <w:rPr>
          <w:rFonts w:hint="eastAsia" w:ascii="仿宋_GB2312" w:hAnsi="仿宋"/>
          <w:color w:val="000000" w:themeColor="text1"/>
          <w:sz w:val="32"/>
          <w:szCs w:val="32"/>
          <w:lang w:val="en-US" w:eastAsia="zh-CN"/>
          <w14:textFill>
            <w14:solidFill>
              <w14:schemeClr w14:val="tx1"/>
            </w14:solidFill>
          </w14:textFill>
        </w:rPr>
        <w:t>10</w:t>
      </w:r>
      <w:r>
        <w:rPr>
          <w:rFonts w:hint="eastAsia" w:ascii="仿宋_GB2312" w:hAnsi="仿宋"/>
          <w:color w:val="000000" w:themeColor="text1"/>
          <w:sz w:val="32"/>
          <w:szCs w:val="32"/>
          <w:vertAlign w:val="superscript"/>
          <w:lang w:val="en-US" w:eastAsia="zh-CN"/>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CFU/g），则这种情况也是不允许的</w:t>
      </w:r>
      <w:r>
        <w:rPr>
          <w:rFonts w:hint="eastAsia" w:ascii="仿宋_GB2312" w:hAnsi="仿宋" w:eastAsia="仿宋_GB2312" w:cs="华文中宋"/>
          <w:color w:val="auto"/>
          <w:kern w:val="2"/>
          <w:sz w:val="32"/>
          <w:szCs w:val="32"/>
          <w:lang w:val="en-US" w:eastAsia="zh-CN" w:bidi="ar-SA"/>
        </w:rPr>
        <w:t>。食品的菌落总数超标，说明其产品的卫生状况达不到基本的卫生要求，将会破坏食品的营养成分，加速食品的腐败变质，使食品失去食用价值。消费者食用菌落总数超标严重的食品，容易患痢疾等肠道疾病，会引起呕吐、腹泻等症状。</w:t>
      </w:r>
    </w:p>
    <w:p>
      <w:pPr>
        <w:spacing w:line="560" w:lineRule="exact"/>
        <w:ind w:firstLine="642" w:firstLineChars="200"/>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（五）毒死蜱</w:t>
      </w:r>
    </w:p>
    <w:p>
      <w:pPr>
        <w:pStyle w:val="20"/>
        <w:spacing w:line="560" w:lineRule="exact"/>
        <w:ind w:firstLine="640"/>
        <w:rPr>
          <w:rFonts w:hint="eastAsia" w:ascii="仿宋_GB2312" w:hAnsi="仿宋"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仿宋" w:eastAsia="仿宋_GB2312" w:cs="Times New Roman"/>
          <w:color w:val="000000" w:themeColor="text1"/>
          <w:kern w:val="2"/>
          <w:sz w:val="32"/>
          <w:szCs w:val="32"/>
          <w:lang w:val="en-US" w:eastAsia="zh-CN" w:bidi="ar-SA"/>
          <w14:textFill>
            <w14:solidFill>
              <w14:schemeClr w14:val="tx1"/>
            </w14:solidFill>
          </w14:textFill>
        </w:rPr>
        <w:t>毒死蜱是一种具有触杀、胃毒和熏蒸作用的有机磷杀虫剂。《食品安全国家标准 食品中农药最大残留限量》（GB 2763-2021）中规定，</w:t>
      </w:r>
      <w:r>
        <w:rPr>
          <w:rFonts w:hint="eastAsia" w:ascii="仿宋_GB2312" w:hAnsi="仿宋" w:cs="Times New Roman"/>
          <w:color w:val="000000" w:themeColor="text1"/>
          <w:kern w:val="2"/>
          <w:sz w:val="32"/>
          <w:szCs w:val="32"/>
          <w:lang w:val="en-US" w:eastAsia="zh-CN" w:bidi="ar-SA"/>
          <w14:textFill>
            <w14:solidFill>
              <w14:schemeClr w14:val="tx1"/>
            </w14:solidFill>
          </w14:textFill>
        </w:rPr>
        <w:t>根茎类和薯芋类</w:t>
      </w:r>
      <w:r>
        <w:rPr>
          <w:rFonts w:hint="eastAsia" w:ascii="仿宋_GB2312" w:hAnsi="仿宋" w:eastAsia="仿宋_GB2312" w:cs="Times New Roman"/>
          <w:color w:val="000000" w:themeColor="text1"/>
          <w:kern w:val="2"/>
          <w:sz w:val="32"/>
          <w:szCs w:val="32"/>
          <w:lang w:val="en-US" w:eastAsia="zh-CN" w:bidi="ar-SA"/>
          <w14:textFill>
            <w14:solidFill>
              <w14:schemeClr w14:val="tx1"/>
            </w14:solidFill>
          </w14:textFill>
        </w:rPr>
        <w:t>蔬菜的毒死蜱残留限量值</w:t>
      </w:r>
      <w:r>
        <w:rPr>
          <w:rFonts w:hint="eastAsia" w:ascii="仿宋_GB2312" w:hAnsi="仿宋" w:cs="Times New Roman"/>
          <w:color w:val="000000" w:themeColor="text1"/>
          <w:kern w:val="2"/>
          <w:sz w:val="32"/>
          <w:szCs w:val="32"/>
          <w:lang w:val="en-US" w:eastAsia="zh-CN" w:bidi="ar-SA"/>
          <w14:textFill>
            <w14:solidFill>
              <w14:schemeClr w14:val="tx1"/>
            </w14:solidFill>
          </w14:textFill>
        </w:rPr>
        <w:t>应</w:t>
      </w:r>
      <w:r>
        <w:rPr>
          <w:rFonts w:hint="eastAsia" w:ascii="仿宋_GB2312" w:hAnsi="仿宋" w:eastAsia="仿宋_GB2312" w:cs="Times New Roman"/>
          <w:color w:val="000000" w:themeColor="text1"/>
          <w:kern w:val="2"/>
          <w:sz w:val="32"/>
          <w:szCs w:val="32"/>
          <w:lang w:val="en-US" w:eastAsia="zh-CN" w:bidi="ar-SA"/>
          <w14:textFill>
            <w14:solidFill>
              <w14:schemeClr w14:val="tx1"/>
            </w14:solidFill>
          </w14:textFill>
        </w:rPr>
        <w:t>≤0.02mg/kg。毒死蜱属中毒农药，在叶片上残留期一般为5至7天，在土壤中残留期较长，对鱼类及水生生物毒性较高，对蜜蜂有毒。长期暴露在含有毒死蜱的环境中，可能会导致神经毒性、生殖毒性，并会影响胚胎的生长发育。</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楷体_GB2312" w:hAnsi="楷体" w:eastAsia="楷体_GB2312" w:cs="仿宋_GB2312"/>
          <w:b/>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六</w:t>
      </w:r>
      <w:r>
        <w:rPr>
          <w:rFonts w:hint="eastAsia" w:ascii="方正楷体_GB2312" w:hAnsi="方正楷体_GB2312" w:eastAsia="方正楷体_GB2312" w:cs="方正楷体_GB2312"/>
          <w:b/>
          <w:bCs w:val="0"/>
          <w:sz w:val="32"/>
          <w:szCs w:val="32"/>
          <w:lang w:val="zh-CN" w:eastAsia="zh-CN"/>
        </w:rPr>
        <w:t>）阴离子合成洗涤剂</w:t>
      </w:r>
      <w:r>
        <w:rPr>
          <w:rFonts w:hint="eastAsia" w:ascii="楷体_GB2312" w:hAnsi="楷体" w:eastAsia="楷体_GB2312" w:cs="仿宋_GB2312"/>
          <w:b/>
          <w:sz w:val="32"/>
          <w:szCs w:val="32"/>
          <w:lang w:val="zh-CN" w:eastAsia="zh-CN"/>
        </w:rPr>
        <w:t>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 w:eastAsia="仿宋_GB2312" w:cs="仿宋"/>
          <w:color w:val="auto"/>
          <w:kern w:val="2"/>
          <w:sz w:val="32"/>
          <w:szCs w:val="32"/>
          <w:lang w:val="en-US" w:eastAsia="zh-CN" w:bidi="ar-SA"/>
        </w:rPr>
      </w:pPr>
      <w:r>
        <w:rPr>
          <w:rFonts w:hint="eastAsia" w:ascii="仿宋_GB2312" w:hAnsi="仿宋" w:eastAsia="仿宋_GB2312" w:cs="仿宋"/>
          <w:color w:val="auto"/>
          <w:kern w:val="2"/>
          <w:sz w:val="32"/>
          <w:szCs w:val="32"/>
          <w:lang w:val="en-US" w:eastAsia="zh-CN" w:bidi="ar-SA"/>
        </w:rPr>
        <w:t>阴离子合成洗涤剂，即我们日常生活中经常用到的洗衣粉、洗洁精、洗衣液、肥皂等洗涤剂的主要成分，其起效成分十二烷基磺酸钠，是一种低毒物质,因其使用方便、易溶解、稳定性好、成本低等优点,在消毒企业中广泛使用。</w:t>
      </w:r>
      <w:r>
        <w:rPr>
          <w:rFonts w:hint="eastAsia" w:ascii="仿宋_GB2312" w:hAnsi="仿宋" w:eastAsia="仿宋_GB2312" w:cs="仿宋"/>
          <w:color w:val="auto"/>
          <w:kern w:val="2"/>
          <w:sz w:val="32"/>
          <w:szCs w:val="32"/>
          <w:lang w:val="zh-CN" w:eastAsia="zh-CN" w:bidi="ar-SA"/>
        </w:rPr>
        <w:t>食品安全国家标准 消毒餐（饮）具》（GB 14934</w:t>
      </w:r>
      <w:r>
        <w:rPr>
          <w:rFonts w:hint="eastAsia" w:ascii="仿宋_GB2312" w:hAnsi="仿宋" w:eastAsia="仿宋_GB2312" w:cs="仿宋"/>
          <w:color w:val="auto"/>
          <w:kern w:val="2"/>
          <w:sz w:val="32"/>
          <w:szCs w:val="32"/>
          <w:lang w:val="en-US" w:eastAsia="zh-CN" w:bidi="ar-SA"/>
        </w:rPr>
        <w:t>-</w:t>
      </w:r>
      <w:r>
        <w:rPr>
          <w:rFonts w:hint="eastAsia" w:ascii="仿宋_GB2312" w:hAnsi="仿宋" w:eastAsia="仿宋_GB2312" w:cs="仿宋"/>
          <w:color w:val="auto"/>
          <w:kern w:val="2"/>
          <w:sz w:val="32"/>
          <w:szCs w:val="32"/>
          <w:lang w:val="zh-CN" w:eastAsia="zh-CN" w:bidi="ar-SA"/>
        </w:rPr>
        <w:t>2016）中规定，消毒餐（饮）具中不得检出</w:t>
      </w:r>
      <w:r>
        <w:rPr>
          <w:rFonts w:hint="eastAsia" w:ascii="仿宋_GB2312" w:hAnsi="仿宋" w:eastAsia="仿宋_GB2312" w:cs="仿宋"/>
          <w:color w:val="auto"/>
          <w:kern w:val="2"/>
          <w:sz w:val="32"/>
          <w:szCs w:val="32"/>
          <w:lang w:val="en-US" w:eastAsia="zh-CN" w:bidi="ar-SA"/>
        </w:rPr>
        <w:t>阴离子合成洗涤剂(以十二烷基苯磺酸钠计)</w:t>
      </w:r>
      <w:r>
        <w:rPr>
          <w:rFonts w:hint="eastAsia" w:ascii="仿宋_GB2312" w:hAnsi="仿宋" w:eastAsia="仿宋_GB2312" w:cs="仿宋"/>
          <w:color w:val="auto"/>
          <w:kern w:val="2"/>
          <w:sz w:val="32"/>
          <w:szCs w:val="32"/>
          <w:lang w:val="zh-CN" w:eastAsia="zh-CN" w:bidi="ar-SA"/>
        </w:rPr>
        <w:t>。</w:t>
      </w:r>
      <w:r>
        <w:rPr>
          <w:rFonts w:hint="eastAsia" w:ascii="仿宋_GB2312" w:hAnsi="仿宋" w:eastAsia="仿宋_GB2312" w:cs="华文中宋"/>
          <w:color w:val="auto"/>
          <w:kern w:val="2"/>
          <w:sz w:val="32"/>
          <w:szCs w:val="32"/>
          <w:lang w:val="en-US" w:eastAsia="zh-CN" w:bidi="ar-SA"/>
        </w:rPr>
        <w:t>部分餐饮从业人员卫生意识不强，用洗涤剂浸泡餐（饮）具后，未用清水冲刷或者冲刷时间较短易导致洗涤剂残留。长期使用十二烷基苯磺酸钠超</w:t>
      </w:r>
      <w:r>
        <w:rPr>
          <w:rFonts w:hint="eastAsia" w:ascii="仿宋_GB2312" w:hAnsi="仿宋" w:eastAsia="仿宋_GB2312" w:cs="仿宋"/>
          <w:color w:val="auto"/>
          <w:kern w:val="2"/>
          <w:sz w:val="32"/>
          <w:szCs w:val="32"/>
          <w:lang w:val="en-US" w:eastAsia="zh-CN" w:bidi="ar-SA"/>
        </w:rPr>
        <w:t>标的餐（饮）具，可能容易引起呼吸系统过敏性反应。</w:t>
      </w:r>
    </w:p>
    <w:p>
      <w:pPr>
        <w:spacing w:line="560" w:lineRule="exact"/>
        <w:ind w:firstLine="642" w:firstLineChars="200"/>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七</w:t>
      </w:r>
      <w:r>
        <w:rPr>
          <w:rFonts w:hint="eastAsia" w:ascii="方正楷体_GB2312" w:hAnsi="方正楷体_GB2312" w:eastAsia="方正楷体_GB2312" w:cs="方正楷体_GB2312"/>
          <w:b/>
          <w:bCs w:val="0"/>
          <w:sz w:val="32"/>
          <w:szCs w:val="32"/>
          <w:lang w:val="zh-CN" w:eastAsia="zh-CN"/>
        </w:rPr>
        <w:t>）镉（以Cd计）</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 w:eastAsia="仿宋_GB2312" w:cs="仿宋"/>
          <w:color w:val="auto"/>
          <w:kern w:val="2"/>
          <w:sz w:val="32"/>
          <w:szCs w:val="32"/>
          <w:lang w:val="en-US" w:eastAsia="zh-CN" w:bidi="ar-SA"/>
        </w:rPr>
      </w:pPr>
      <w:r>
        <w:rPr>
          <w:rFonts w:hint="eastAsia" w:ascii="仿宋_GB2312" w:hAnsi="仿宋" w:eastAsia="仿宋_GB2312" w:cs="仿宋"/>
          <w:color w:val="auto"/>
          <w:kern w:val="2"/>
          <w:sz w:val="32"/>
          <w:szCs w:val="32"/>
          <w:lang w:val="en-US" w:eastAsia="zh-CN" w:bidi="ar-SA"/>
        </w:rPr>
        <w:t>镉（以Cd计）是最常见的重金属元素污染物之一。《食品安全国家标准</w:t>
      </w:r>
      <w:r>
        <w:rPr>
          <w:rFonts w:hint="eastAsia" w:ascii="仿宋_GB2312" w:hAnsi="仿宋" w:cs="仿宋"/>
          <w:color w:val="auto"/>
          <w:kern w:val="2"/>
          <w:sz w:val="32"/>
          <w:szCs w:val="32"/>
          <w:lang w:val="en-US" w:eastAsia="zh-CN" w:bidi="ar-SA"/>
        </w:rPr>
        <w:t xml:space="preserve"> </w:t>
      </w:r>
      <w:r>
        <w:rPr>
          <w:rFonts w:hint="eastAsia" w:ascii="仿宋_GB2312" w:hAnsi="仿宋" w:eastAsia="仿宋_GB2312" w:cs="仿宋"/>
          <w:color w:val="auto"/>
          <w:kern w:val="2"/>
          <w:sz w:val="32"/>
          <w:szCs w:val="32"/>
          <w:lang w:val="en-US" w:eastAsia="zh-CN" w:bidi="ar-SA"/>
        </w:rPr>
        <w:t>食品中污染物限量》（GB 2762</w:t>
      </w:r>
      <w:r>
        <w:rPr>
          <w:rFonts w:hint="eastAsia" w:ascii="仿宋_GB2312" w:hAnsi="仿宋" w:cs="仿宋"/>
          <w:color w:val="auto"/>
          <w:kern w:val="2"/>
          <w:sz w:val="32"/>
          <w:szCs w:val="32"/>
          <w:lang w:val="en-US" w:eastAsia="zh-CN" w:bidi="ar-SA"/>
        </w:rPr>
        <w:t>-</w:t>
      </w:r>
      <w:r>
        <w:rPr>
          <w:rFonts w:hint="eastAsia" w:ascii="仿宋_GB2312" w:hAnsi="仿宋" w:eastAsia="仿宋_GB2312" w:cs="仿宋"/>
          <w:color w:val="auto"/>
          <w:kern w:val="2"/>
          <w:sz w:val="32"/>
          <w:szCs w:val="32"/>
          <w:lang w:val="en-US" w:eastAsia="zh-CN" w:bidi="ar-SA"/>
        </w:rPr>
        <w:t>2017）中规定，镉（以Cd计）在鲜、冻水产动物的甲壳类中最大限量为0.5mg/kg。水产品中镉（以Cd计）超标可能是水产品养殖过程中对环境中镉元素的富集。镉对人体的危害主要是慢性蓄积性，长期大量摄入镉含量超标的食品可能导致肾和骨骼损伤等。</w:t>
      </w:r>
    </w:p>
    <w:p>
      <w:pPr>
        <w:spacing w:line="560" w:lineRule="exact"/>
        <w:ind w:firstLine="642" w:firstLineChars="200"/>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（八）极性组分</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 w:eastAsia="仿宋_GB2312" w:cs="仿宋"/>
          <w:color w:val="auto"/>
          <w:kern w:val="2"/>
          <w:sz w:val="32"/>
          <w:szCs w:val="32"/>
          <w:lang w:val="en-US" w:eastAsia="zh-CN" w:bidi="ar-SA"/>
        </w:rPr>
      </w:pPr>
      <w:r>
        <w:rPr>
          <w:rFonts w:hint="eastAsia" w:ascii="仿宋_GB2312" w:hAnsi="仿宋" w:eastAsia="仿宋_GB2312" w:cs="仿宋"/>
          <w:color w:val="auto"/>
          <w:kern w:val="2"/>
          <w:sz w:val="32"/>
          <w:szCs w:val="32"/>
          <w:lang w:val="en-US" w:eastAsia="zh-CN" w:bidi="ar-SA"/>
        </w:rPr>
        <w:t>食用植物油经高温加热和反复使用后可发生—系列化学反应。在营养价值下降的同时还会产生某些毒性物质，如丙烯酰胺、多环芳烃、醛基和羰基物质等，这些物质的增加，可使油的物理极性增加，由此又将这些物质称为极性物质。油的不饱和程度越高、油温越高、反复煎炸的次数越多、极性物质产生和增加的也就越多。《食品安全国家标准 植物油》（GB 2716-2018）中规定，植物油的极性组分应≤27 %。植物油中极性组分超标不仅影响油脂本身的品质和风味，还</w:t>
      </w:r>
      <w:r>
        <w:rPr>
          <w:rFonts w:hint="eastAsia" w:ascii="仿宋_GB2312" w:hAnsi="仿宋" w:cs="仿宋"/>
          <w:color w:val="auto"/>
          <w:kern w:val="2"/>
          <w:sz w:val="32"/>
          <w:szCs w:val="32"/>
          <w:lang w:val="en-US" w:eastAsia="zh-CN" w:bidi="ar-SA"/>
        </w:rPr>
        <w:t>可能</w:t>
      </w:r>
      <w:r>
        <w:rPr>
          <w:rFonts w:hint="eastAsia" w:ascii="仿宋_GB2312" w:hAnsi="仿宋" w:eastAsia="仿宋_GB2312" w:cs="仿宋"/>
          <w:color w:val="auto"/>
          <w:kern w:val="2"/>
          <w:sz w:val="32"/>
          <w:szCs w:val="32"/>
          <w:lang w:val="en-US" w:eastAsia="zh-CN" w:bidi="ar-SA"/>
        </w:rPr>
        <w:t>对人体健康有害，如使动物生长停滞、肝脏肿大、肝功能发生障碍等。</w:t>
      </w:r>
    </w:p>
    <w:p>
      <w:pPr>
        <w:keepNext w:val="0"/>
        <w:keepLines w:val="0"/>
        <w:pageBreakBefore w:val="0"/>
        <w:widowControl w:val="0"/>
        <w:numPr>
          <w:numId w:val="0"/>
        </w:numPr>
        <w:kinsoku/>
        <w:wordWrap/>
        <w:overflowPunct/>
        <w:topLinePunct w:val="0"/>
        <w:autoSpaceDE/>
        <w:autoSpaceDN/>
        <w:bidi w:val="0"/>
        <w:adjustRightInd/>
        <w:snapToGrid/>
        <w:spacing w:line="560" w:lineRule="exact"/>
        <w:ind w:leftChars="0" w:firstLine="642" w:firstLineChars="200"/>
        <w:jc w:val="both"/>
        <w:textAlignment w:val="auto"/>
        <w:rPr>
          <w:rFonts w:hint="eastAsia" w:ascii="方正楷体_GB2312" w:hAnsi="方正楷体_GB2312" w:eastAsia="方正楷体_GB2312" w:cs="方正楷体_GB2312"/>
          <w:b/>
          <w:bCs w:val="0"/>
          <w:kern w:val="2"/>
          <w:sz w:val="32"/>
          <w:szCs w:val="32"/>
          <w:lang w:val="en-US" w:eastAsia="zh-CN" w:bidi="ar-SA"/>
        </w:rPr>
      </w:pPr>
      <w:bookmarkStart w:id="0" w:name="_GoBack"/>
      <w:bookmarkEnd w:id="0"/>
      <w:r>
        <w:rPr>
          <w:rFonts w:hint="eastAsia" w:ascii="方正楷体_GB2312" w:hAnsi="方正楷体_GB2312" w:eastAsia="方正楷体_GB2312" w:cs="方正楷体_GB2312"/>
          <w:b/>
          <w:bCs w:val="0"/>
          <w:kern w:val="2"/>
          <w:sz w:val="32"/>
          <w:szCs w:val="32"/>
          <w:lang w:val="en-US" w:eastAsia="zh-CN" w:bidi="ar-SA"/>
        </w:rPr>
        <w:t>（九）锶</w:t>
      </w:r>
    </w:p>
    <w:p>
      <w:pPr>
        <w:keepNext w:val="0"/>
        <w:keepLines w:val="0"/>
        <w:pageBreakBefore w:val="0"/>
        <w:widowControl w:val="0"/>
        <w:numPr>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仿宋_GB2312" w:hAnsi="仿宋" w:eastAsia="仿宋_GB2312" w:cs="Times New Roman"/>
          <w:b w:val="0"/>
          <w:color w:val="auto"/>
          <w:kern w:val="2"/>
          <w:sz w:val="32"/>
          <w:szCs w:val="32"/>
          <w:lang w:val="en-US" w:eastAsia="zh-CN" w:bidi="ar-SA"/>
        </w:rPr>
      </w:pPr>
      <w:r>
        <w:rPr>
          <w:rFonts w:hint="eastAsia" w:ascii="仿宋_GB2312" w:hAnsi="仿宋" w:eastAsia="仿宋_GB2312" w:cs="Times New Roman"/>
          <w:b w:val="0"/>
          <w:color w:val="auto"/>
          <w:kern w:val="2"/>
          <w:sz w:val="32"/>
          <w:szCs w:val="32"/>
          <w:lang w:val="en-US" w:eastAsia="zh-CN" w:bidi="ar-SA"/>
        </w:rPr>
        <w:t>锶是一种银白色带黄色光泽的碱土金属。锶元素广泛存在与土壤、海水中，是一种微量元素，具有防止动脉硬化，防止血栓形成的功能。锶是评价矿泉水水质最常用、最重要的界限指标之一。本次不合格矿泉水锶不符合产品标签标示值的要求。造成锶不合格的原因可能是饮用天然矿泉水在生产加工过程中处理不当，导致终产品中界限指标不合格；也可能是水源水本身的界限指标含量不稳定有偏差，而企业出厂检验不严格导致。</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（十）脱氢乙酸及其钠盐</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rPr>
        <w:t>脱氢乙酸及其钠盐因对霉菌具有较强的抑制作用而被广泛用作防腐剂使用。《食品安全国家标准 食品添加剂使用标准》（GB 2760-2014）中规定，</w:t>
      </w:r>
      <w:r>
        <w:rPr>
          <w:rFonts w:hint="eastAsia" w:ascii="仿宋_GB2312" w:hAnsi="仿宋"/>
          <w:sz w:val="32"/>
          <w:szCs w:val="32"/>
          <w:lang w:val="en-US" w:eastAsia="zh-CN"/>
        </w:rPr>
        <w:t>糕点</w:t>
      </w:r>
      <w:r>
        <w:rPr>
          <w:rFonts w:hint="eastAsia" w:ascii="仿宋_GB2312" w:hAnsi="仿宋" w:eastAsia="仿宋_GB2312"/>
          <w:sz w:val="32"/>
          <w:szCs w:val="32"/>
        </w:rPr>
        <w:t>中脱氢乙酸及其钠盐(以脱氢乙酸计)</w:t>
      </w:r>
      <w:r>
        <w:rPr>
          <w:rFonts w:hint="eastAsia" w:ascii="仿宋_GB2312" w:hAnsi="仿宋"/>
          <w:sz w:val="32"/>
          <w:szCs w:val="32"/>
          <w:lang w:val="en-US" w:eastAsia="zh-CN"/>
        </w:rPr>
        <w:t>应</w:t>
      </w:r>
      <w:r>
        <w:rPr>
          <w:rFonts w:hint="eastAsia" w:ascii="仿宋_GB2312" w:hAnsi="仿宋" w:eastAsia="仿宋_GB2312"/>
          <w:sz w:val="32"/>
          <w:szCs w:val="32"/>
        </w:rPr>
        <w:t>≤0.5g/kg</w:t>
      </w:r>
      <w:r>
        <w:rPr>
          <w:rFonts w:hint="eastAsia" w:ascii="仿宋_GB2312" w:hAnsi="仿宋" w:eastAsia="仿宋_GB2312"/>
          <w:color w:val="auto"/>
          <w:sz w:val="32"/>
          <w:szCs w:val="32"/>
        </w:rPr>
        <w:t>。</w:t>
      </w:r>
      <w:r>
        <w:rPr>
          <w:rFonts w:hint="eastAsia" w:ascii="仿宋_GB2312" w:hAnsi="仿宋" w:eastAsia="仿宋_GB2312"/>
          <w:color w:val="auto"/>
          <w:sz w:val="32"/>
          <w:szCs w:val="32"/>
          <w:lang w:val="en-US" w:eastAsia="zh-CN"/>
        </w:rPr>
        <w:t>脱氢乙酸毒性较低，按标准规定的范围和使用量使用是安全的。</w:t>
      </w:r>
      <w:r>
        <w:rPr>
          <w:rFonts w:hint="eastAsia" w:ascii="仿宋_GB2312" w:hAnsi="仿宋"/>
          <w:color w:val="auto"/>
          <w:sz w:val="32"/>
          <w:szCs w:val="32"/>
          <w:lang w:val="en-US" w:eastAsia="zh-CN"/>
        </w:rPr>
        <w:t>由于</w:t>
      </w:r>
      <w:r>
        <w:rPr>
          <w:rFonts w:hint="eastAsia" w:ascii="仿宋_GB2312" w:hAnsi="仿宋" w:eastAsia="仿宋_GB2312"/>
          <w:color w:val="auto"/>
          <w:sz w:val="32"/>
          <w:szCs w:val="32"/>
          <w:lang w:val="en-US" w:eastAsia="zh-CN"/>
        </w:rPr>
        <w:t xml:space="preserve">脱氢乙酸及其钠盐能被人体完全吸收，并能抑制人体内多种氧化酶，长期过量摄入脱氢乙酸及其钠盐会危害人体健康。 </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ascii="黑体" w:hAnsi="黑体" w:eastAsia="黑体" w:cs="仿宋_GB2312"/>
          <w:color w:val="auto"/>
          <w:sz w:val="32"/>
          <w:szCs w:val="32"/>
        </w:rPr>
        <w:t>二、建议</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706" w:firstLineChars="220"/>
        <w:textAlignment w:val="auto"/>
        <w:rPr>
          <w:rFonts w:ascii="楷体_GB2312" w:hAnsi="楷体" w:eastAsia="楷体_GB2312"/>
          <w:b/>
          <w:color w:val="auto"/>
          <w:sz w:val="32"/>
          <w:szCs w:val="32"/>
        </w:rPr>
      </w:pPr>
      <w:r>
        <w:rPr>
          <w:rFonts w:hint="eastAsia" w:ascii="楷体_GB2312" w:hAnsi="楷体" w:eastAsia="楷体_GB2312"/>
          <w:b/>
          <w:color w:val="auto"/>
          <w:sz w:val="32"/>
          <w:szCs w:val="32"/>
        </w:rPr>
        <w:t>（一）加强原辅料的把控</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color w:val="auto"/>
          <w:sz w:val="32"/>
          <w:szCs w:val="32"/>
        </w:rPr>
      </w:pPr>
      <w:r>
        <w:rPr>
          <w:rFonts w:hint="eastAsia" w:ascii="仿宋_GB2312" w:hAnsi="仿宋" w:eastAsia="仿宋_GB2312"/>
          <w:color w:val="auto"/>
          <w:sz w:val="32"/>
          <w:szCs w:val="32"/>
        </w:rPr>
        <w:t>食品原料的质量与卫生是食品质量安全的前提。食品生产经营单位应加强对所使用的原材料的质量管理，建立进货查验、索证索票和进货台账制度，查验供货者的许可证和包含必要检验项目的食品合格证明文件，不得采购腐败变质、发霉、质量不新鲜的食品原料，确保各种原辅料的质量符合标准的有关规定和要求。</w:t>
      </w:r>
    </w:p>
    <w:p>
      <w:pPr>
        <w:pStyle w:val="9"/>
        <w:keepNext w:val="0"/>
        <w:keepLines w:val="0"/>
        <w:pageBreakBefore w:val="0"/>
        <w:numPr>
          <w:ilvl w:val="0"/>
          <w:numId w:val="1"/>
        </w:numPr>
        <w:shd w:val="clear" w:color="auto" w:fill="FFFFFF"/>
        <w:kinsoku/>
        <w:wordWrap/>
        <w:overflowPunct/>
        <w:topLinePunct w:val="0"/>
        <w:autoSpaceDE/>
        <w:autoSpaceDN/>
        <w:bidi w:val="0"/>
        <w:adjustRightInd/>
        <w:snapToGrid/>
        <w:spacing w:before="0" w:beforeAutospacing="0" w:after="0" w:afterAutospacing="0" w:line="560" w:lineRule="exact"/>
        <w:ind w:left="961" w:leftChars="200" w:hanging="321" w:hangingChars="100"/>
        <w:textAlignment w:val="auto"/>
        <w:rPr>
          <w:rFonts w:hint="eastAsia" w:ascii="楷体_GB2312" w:hAnsi="楷体" w:eastAsia="楷体_GB2312"/>
          <w:b/>
          <w:color w:val="auto"/>
          <w:sz w:val="32"/>
          <w:szCs w:val="32"/>
        </w:rPr>
      </w:pPr>
      <w:r>
        <w:rPr>
          <w:rFonts w:hint="eastAsia" w:ascii="楷体_GB2312" w:hAnsi="楷体" w:eastAsia="楷体_GB2312"/>
          <w:b/>
          <w:color w:val="auto"/>
          <w:sz w:val="32"/>
          <w:szCs w:val="32"/>
        </w:rPr>
        <w:t>加强</w:t>
      </w:r>
      <w:r>
        <w:rPr>
          <w:rFonts w:hint="eastAsia" w:ascii="楷体_GB2312" w:hAnsi="楷体" w:eastAsia="楷体_GB2312"/>
          <w:b/>
          <w:color w:val="auto"/>
          <w:sz w:val="32"/>
          <w:szCs w:val="32"/>
          <w:lang w:eastAsia="zh-CN"/>
        </w:rPr>
        <w:t>运输、存储环境</w:t>
      </w:r>
      <w:r>
        <w:rPr>
          <w:rFonts w:hint="eastAsia" w:ascii="楷体_GB2312" w:hAnsi="楷体" w:eastAsia="楷体_GB2312"/>
          <w:b/>
          <w:color w:val="auto"/>
          <w:sz w:val="32"/>
          <w:szCs w:val="32"/>
        </w:rPr>
        <w:t>控制</w:t>
      </w:r>
    </w:p>
    <w:p>
      <w:pPr>
        <w:pStyle w:val="9"/>
        <w:shd w:val="clear" w:color="auto" w:fill="FFFFFF"/>
        <w:spacing w:before="0" w:beforeAutospacing="0" w:after="0" w:afterAutospacing="0"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食品经营者应保证运输和装卸食品的容器、工具和设备清洁、无害，保证食品的经营环境和储存环境等符合与食品所需的环境，并及时清理变质、超过保质期及其他不符合标准要求的食品；针对特殊贮存要求的食品，食品经营者在运输、贮藏时应当符合食品安全所需要的温度、空间隔离等特殊要求，防止交叉污染。</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2" w:firstLineChars="200"/>
        <w:textAlignment w:val="auto"/>
        <w:rPr>
          <w:rFonts w:ascii="楷体_GB2312" w:hAnsi="楷体" w:eastAsia="楷体_GB2312"/>
          <w:b/>
          <w:color w:val="auto"/>
          <w:sz w:val="32"/>
          <w:szCs w:val="32"/>
        </w:rPr>
      </w:pPr>
      <w:r>
        <w:rPr>
          <w:rFonts w:hint="eastAsia" w:ascii="楷体_GB2312" w:hAnsi="楷体" w:eastAsia="楷体_GB2312"/>
          <w:b/>
          <w:color w:val="auto"/>
          <w:sz w:val="32"/>
          <w:szCs w:val="32"/>
        </w:rPr>
        <w:t>（</w:t>
      </w:r>
      <w:r>
        <w:rPr>
          <w:rFonts w:hint="eastAsia" w:ascii="楷体_GB2312" w:hAnsi="楷体" w:eastAsia="楷体_GB2312"/>
          <w:b/>
          <w:color w:val="auto"/>
          <w:sz w:val="32"/>
          <w:szCs w:val="32"/>
          <w:lang w:eastAsia="zh-CN"/>
        </w:rPr>
        <w:t>三</w:t>
      </w:r>
      <w:r>
        <w:rPr>
          <w:rFonts w:hint="eastAsia" w:ascii="楷体_GB2312" w:hAnsi="楷体" w:eastAsia="楷体_GB2312"/>
          <w:b/>
          <w:color w:val="auto"/>
          <w:sz w:val="32"/>
          <w:szCs w:val="32"/>
        </w:rPr>
        <w:t>）加强食品出厂检验</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eastAsia="仿宋_GB2312"/>
          <w:color w:val="auto"/>
          <w:sz w:val="32"/>
          <w:szCs w:val="32"/>
        </w:rPr>
        <w:t>食品生产企业要强化重视出厂检验的意识，制定切合自身且不断完善的出厂检验制度；建立完善的检测条件对产品进行日常监管，制定出厂检验计划并严格执行，确保生产合格的产品；加强对生产成品的检测频率，进行自检或送往具有相关资质的检测机构进行检测；建立</w:t>
      </w:r>
      <w:r>
        <w:rPr>
          <w:rFonts w:hint="eastAsia" w:eastAsia="仿宋_GB2312"/>
          <w:color w:val="auto"/>
          <w:sz w:val="32"/>
          <w:szCs w:val="32"/>
          <w:lang w:eastAsia="zh-CN"/>
        </w:rPr>
        <w:t>及</w:t>
      </w:r>
      <w:r>
        <w:rPr>
          <w:rFonts w:hint="eastAsia" w:eastAsia="仿宋_GB2312"/>
          <w:color w:val="auto"/>
          <w:sz w:val="32"/>
          <w:szCs w:val="32"/>
        </w:rPr>
        <w:t>健全产品召回机制，</w:t>
      </w:r>
      <w:r>
        <w:rPr>
          <w:rFonts w:hint="eastAsia" w:eastAsia="仿宋_GB2312"/>
          <w:color w:val="auto"/>
          <w:sz w:val="32"/>
          <w:szCs w:val="32"/>
          <w:lang w:eastAsia="zh-CN"/>
        </w:rPr>
        <w:t>以</w:t>
      </w:r>
      <w:r>
        <w:rPr>
          <w:rFonts w:hint="eastAsia" w:eastAsia="仿宋_GB2312"/>
          <w:color w:val="auto"/>
          <w:sz w:val="32"/>
          <w:szCs w:val="32"/>
        </w:rPr>
        <w:t>应对突发产品质量问题。</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2" w:firstLineChars="200"/>
        <w:jc w:val="both"/>
        <w:textAlignment w:val="auto"/>
        <w:rPr>
          <w:rStyle w:val="14"/>
          <w:rFonts w:ascii="楷体_GB2312" w:hAnsi="楷体" w:eastAsia="楷体_GB2312"/>
          <w:color w:val="auto"/>
          <w:sz w:val="32"/>
          <w:szCs w:val="32"/>
          <w:highlight w:val="none"/>
        </w:rPr>
      </w:pPr>
      <w:r>
        <w:rPr>
          <w:rStyle w:val="14"/>
          <w:rFonts w:hint="eastAsia" w:ascii="楷体_GB2312" w:hAnsi="楷体" w:eastAsia="楷体_GB2312"/>
          <w:color w:val="auto"/>
          <w:sz w:val="32"/>
          <w:szCs w:val="32"/>
          <w:highlight w:val="none"/>
        </w:rPr>
        <w:t>（</w:t>
      </w:r>
      <w:r>
        <w:rPr>
          <w:rStyle w:val="14"/>
          <w:rFonts w:hint="eastAsia" w:ascii="楷体_GB2312" w:hAnsi="楷体" w:eastAsia="楷体_GB2312"/>
          <w:color w:val="auto"/>
          <w:sz w:val="32"/>
          <w:szCs w:val="32"/>
          <w:highlight w:val="none"/>
          <w:lang w:eastAsia="zh-CN"/>
        </w:rPr>
        <w:t>四</w:t>
      </w:r>
      <w:r>
        <w:rPr>
          <w:rStyle w:val="14"/>
          <w:rFonts w:hint="eastAsia" w:ascii="楷体_GB2312" w:hAnsi="楷体" w:eastAsia="楷体_GB2312"/>
          <w:color w:val="auto"/>
          <w:sz w:val="32"/>
          <w:szCs w:val="32"/>
          <w:highlight w:val="none"/>
        </w:rPr>
        <w:t>）提高食品添加剂安全使用意识</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部分食品生产经营者为了追求经济效益，对食品添加剂过于依赖，但对食品添加剂使用要求却执行不到位。因此</w:t>
      </w:r>
      <w:r>
        <w:rPr>
          <w:rFonts w:hint="eastAsia" w:ascii="仿宋_GB2312" w:hAnsi="仿宋" w:eastAsia="仿宋_GB2312"/>
          <w:color w:val="auto"/>
          <w:sz w:val="32"/>
          <w:szCs w:val="32"/>
          <w:highlight w:val="none"/>
          <w:lang w:eastAsia="zh-CN"/>
        </w:rPr>
        <w:t>应</w:t>
      </w:r>
      <w:r>
        <w:rPr>
          <w:rFonts w:hint="eastAsia" w:ascii="仿宋_GB2312" w:hAnsi="仿宋" w:eastAsia="仿宋_GB2312"/>
          <w:color w:val="auto"/>
          <w:sz w:val="32"/>
          <w:szCs w:val="32"/>
          <w:highlight w:val="none"/>
        </w:rPr>
        <w:t>落实企业主体，加大对食品生产企业关于食品添加剂的相关法律法规和国家标准知识的宣传力度，进一步宣贯违法添加和滥用食品添加剂行为的危害性以及通过加大惩处等措施来提高食品生产企业食品添加剂安全使用意识。</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640" w:leftChars="200" w:firstLine="0" w:firstLineChars="0"/>
        <w:jc w:val="both"/>
        <w:textAlignment w:val="auto"/>
        <w:rPr>
          <w:rStyle w:val="14"/>
          <w:rFonts w:hint="eastAsia" w:ascii="楷体_GB2312" w:hAnsi="楷体" w:eastAsia="楷体_GB2312" w:cs="Times New Roman"/>
          <w:color w:val="auto"/>
          <w:sz w:val="32"/>
          <w:szCs w:val="32"/>
          <w:highlight w:val="none"/>
        </w:rPr>
      </w:pPr>
      <w:r>
        <w:rPr>
          <w:rStyle w:val="14"/>
          <w:rFonts w:hint="eastAsia" w:ascii="楷体_GB2312" w:hAnsi="楷体" w:eastAsia="楷体_GB2312"/>
          <w:color w:val="auto"/>
          <w:sz w:val="32"/>
          <w:szCs w:val="32"/>
          <w:highlight w:val="none"/>
        </w:rPr>
        <w:t>（</w:t>
      </w:r>
      <w:r>
        <w:rPr>
          <w:rStyle w:val="14"/>
          <w:rFonts w:hint="eastAsia" w:ascii="楷体_GB2312" w:hAnsi="楷体" w:eastAsia="楷体_GB2312"/>
          <w:color w:val="auto"/>
          <w:sz w:val="32"/>
          <w:szCs w:val="32"/>
          <w:highlight w:val="none"/>
          <w:lang w:eastAsia="zh-CN"/>
        </w:rPr>
        <w:t>五</w:t>
      </w:r>
      <w:r>
        <w:rPr>
          <w:rStyle w:val="14"/>
          <w:rFonts w:hint="eastAsia" w:ascii="楷体_GB2312" w:hAnsi="楷体" w:eastAsia="楷体_GB2312"/>
          <w:color w:val="auto"/>
          <w:sz w:val="32"/>
          <w:szCs w:val="32"/>
          <w:highlight w:val="none"/>
        </w:rPr>
        <w:t>）</w:t>
      </w:r>
      <w:r>
        <w:rPr>
          <w:rStyle w:val="14"/>
          <w:rFonts w:hint="eastAsia" w:ascii="楷体_GB2312" w:hAnsi="楷体" w:eastAsia="楷体_GB2312" w:cs="Times New Roman"/>
          <w:color w:val="auto"/>
          <w:sz w:val="32"/>
          <w:szCs w:val="32"/>
          <w:highlight w:val="none"/>
        </w:rPr>
        <w:t>规范</w:t>
      </w:r>
      <w:r>
        <w:rPr>
          <w:rStyle w:val="14"/>
          <w:rFonts w:hint="eastAsia" w:ascii="楷体_GB2312" w:hAnsi="楷体" w:eastAsia="楷体_GB2312" w:cs="Times New Roman"/>
          <w:color w:val="auto"/>
          <w:sz w:val="32"/>
          <w:szCs w:val="32"/>
          <w:highlight w:val="none"/>
          <w:lang w:eastAsia="zh-CN"/>
        </w:rPr>
        <w:t>食用农产品</w:t>
      </w:r>
      <w:r>
        <w:rPr>
          <w:rStyle w:val="14"/>
          <w:rFonts w:hint="eastAsia" w:ascii="楷体_GB2312" w:hAnsi="楷体" w:eastAsia="楷体_GB2312" w:cs="Times New Roman"/>
          <w:color w:val="auto"/>
          <w:sz w:val="32"/>
          <w:szCs w:val="32"/>
          <w:highlight w:val="none"/>
        </w:rPr>
        <w:t>药物</w:t>
      </w:r>
      <w:r>
        <w:rPr>
          <w:rStyle w:val="14"/>
          <w:rFonts w:hint="eastAsia" w:ascii="楷体_GB2312" w:hAnsi="楷体" w:eastAsia="楷体_GB2312" w:cs="Times New Roman"/>
          <w:color w:val="auto"/>
          <w:sz w:val="32"/>
          <w:szCs w:val="32"/>
          <w:highlight w:val="none"/>
          <w:lang w:eastAsia="zh-CN"/>
        </w:rPr>
        <w:t>的</w:t>
      </w:r>
      <w:r>
        <w:rPr>
          <w:rStyle w:val="14"/>
          <w:rFonts w:hint="eastAsia" w:ascii="楷体_GB2312" w:hAnsi="楷体" w:eastAsia="楷体_GB2312" w:cs="Times New Roman"/>
          <w:color w:val="auto"/>
          <w:sz w:val="32"/>
          <w:szCs w:val="32"/>
          <w:highlight w:val="none"/>
        </w:rPr>
        <w:t>使用</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针对种养殖环节，种养殖户应严格按照药物说明书进行规范用药。加大对生产经营人员专业知识的培训，对种养殖基地、农户进行药物使用知识的培训力度，加强种养殖户对不同季节、不同农作物使用农药和畜禽使用兽药情况的了解。同时，建议有关部门加大对深圳各场所农产品的抽检力度，对发现的违法用药行为进行严厉处罚，并进一步加强对非食用物质的监管，加大针对性抽检的力度。</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楷体">
    <w:altName w:val="方正楷体_GBK"/>
    <w:panose1 w:val="02010609060101010101"/>
    <w:charset w:val="86"/>
    <w:family w:val="modern"/>
    <w:pitch w:val="default"/>
    <w:sig w:usb0="00000000" w:usb1="00000000" w:usb2="00000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楷体_GB2312">
    <w:altName w:val="方正楷体_GBK"/>
    <w:panose1 w:val="02000000000000000000"/>
    <w:charset w:val="86"/>
    <w:family w:val="auto"/>
    <w:pitch w:val="default"/>
    <w:sig w:usb0="00000000" w:usb1="00000000"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B36E8D"/>
    <w:multiLevelType w:val="singleLevel"/>
    <w:tmpl w:val="5BB36E8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FkNWY3MDE3M2RiODhiZTRhOWM0N2VmNTEzZWI5MGUifQ=="/>
  </w:docVars>
  <w:rsids>
    <w:rsidRoot w:val="010D4506"/>
    <w:rsid w:val="000139C9"/>
    <w:rsid w:val="005363F0"/>
    <w:rsid w:val="006B1DCC"/>
    <w:rsid w:val="00724BD2"/>
    <w:rsid w:val="008D6C99"/>
    <w:rsid w:val="00B977A2"/>
    <w:rsid w:val="00BE4BAD"/>
    <w:rsid w:val="00CD6745"/>
    <w:rsid w:val="010D4506"/>
    <w:rsid w:val="01565C22"/>
    <w:rsid w:val="017D0269"/>
    <w:rsid w:val="01880CE2"/>
    <w:rsid w:val="01D53863"/>
    <w:rsid w:val="01DD3C4D"/>
    <w:rsid w:val="03365C46"/>
    <w:rsid w:val="034743C9"/>
    <w:rsid w:val="034F1986"/>
    <w:rsid w:val="03E020C5"/>
    <w:rsid w:val="03FD00B3"/>
    <w:rsid w:val="0453793B"/>
    <w:rsid w:val="04977BD5"/>
    <w:rsid w:val="055921C9"/>
    <w:rsid w:val="055A195A"/>
    <w:rsid w:val="0597115B"/>
    <w:rsid w:val="06261016"/>
    <w:rsid w:val="06585F98"/>
    <w:rsid w:val="066C5CEA"/>
    <w:rsid w:val="06894B40"/>
    <w:rsid w:val="06F0528D"/>
    <w:rsid w:val="06F3181D"/>
    <w:rsid w:val="07486F42"/>
    <w:rsid w:val="07C82C95"/>
    <w:rsid w:val="07E04EFC"/>
    <w:rsid w:val="081209FA"/>
    <w:rsid w:val="081B38E6"/>
    <w:rsid w:val="08AD06EB"/>
    <w:rsid w:val="08F00F9F"/>
    <w:rsid w:val="091C5D20"/>
    <w:rsid w:val="099F35F4"/>
    <w:rsid w:val="0A101FAB"/>
    <w:rsid w:val="0A416AB6"/>
    <w:rsid w:val="0A545255"/>
    <w:rsid w:val="0AEA5DCE"/>
    <w:rsid w:val="0B5F7337"/>
    <w:rsid w:val="0B66492E"/>
    <w:rsid w:val="0B6F4B3F"/>
    <w:rsid w:val="0B9C34ED"/>
    <w:rsid w:val="0C083FBC"/>
    <w:rsid w:val="0C0C4E1D"/>
    <w:rsid w:val="0C455D22"/>
    <w:rsid w:val="0C6F4539"/>
    <w:rsid w:val="0C760736"/>
    <w:rsid w:val="0CBF7726"/>
    <w:rsid w:val="0CD4225F"/>
    <w:rsid w:val="0D1C5633"/>
    <w:rsid w:val="0D6C4E32"/>
    <w:rsid w:val="0E431583"/>
    <w:rsid w:val="0EA926E5"/>
    <w:rsid w:val="0EA93008"/>
    <w:rsid w:val="0EC839C2"/>
    <w:rsid w:val="0F261454"/>
    <w:rsid w:val="0F567840"/>
    <w:rsid w:val="0FE51EE1"/>
    <w:rsid w:val="108B31AA"/>
    <w:rsid w:val="10AD16A7"/>
    <w:rsid w:val="10BA4D47"/>
    <w:rsid w:val="1162065F"/>
    <w:rsid w:val="11B32DA0"/>
    <w:rsid w:val="11BA183E"/>
    <w:rsid w:val="11CE6913"/>
    <w:rsid w:val="11E172CB"/>
    <w:rsid w:val="11F21CEC"/>
    <w:rsid w:val="1210526E"/>
    <w:rsid w:val="12AF7645"/>
    <w:rsid w:val="12B51B83"/>
    <w:rsid w:val="12D976B3"/>
    <w:rsid w:val="137821D3"/>
    <w:rsid w:val="13803E88"/>
    <w:rsid w:val="139A1CB2"/>
    <w:rsid w:val="13E774D5"/>
    <w:rsid w:val="141B2394"/>
    <w:rsid w:val="14292A97"/>
    <w:rsid w:val="1499532A"/>
    <w:rsid w:val="1512088F"/>
    <w:rsid w:val="155219D3"/>
    <w:rsid w:val="15FE7C46"/>
    <w:rsid w:val="16396F4B"/>
    <w:rsid w:val="164E1FAB"/>
    <w:rsid w:val="165773C2"/>
    <w:rsid w:val="16A102CE"/>
    <w:rsid w:val="16A52765"/>
    <w:rsid w:val="176818BF"/>
    <w:rsid w:val="17AE2E53"/>
    <w:rsid w:val="17C62E78"/>
    <w:rsid w:val="17CA0823"/>
    <w:rsid w:val="17FA5E44"/>
    <w:rsid w:val="181E6360"/>
    <w:rsid w:val="182C56B9"/>
    <w:rsid w:val="18F91C2D"/>
    <w:rsid w:val="18FA3DC4"/>
    <w:rsid w:val="199008F8"/>
    <w:rsid w:val="19EB104A"/>
    <w:rsid w:val="1A19393D"/>
    <w:rsid w:val="1A2F146E"/>
    <w:rsid w:val="1A81096D"/>
    <w:rsid w:val="1A84029D"/>
    <w:rsid w:val="1AB574C5"/>
    <w:rsid w:val="1AC759AF"/>
    <w:rsid w:val="1AE32ACD"/>
    <w:rsid w:val="1B042E72"/>
    <w:rsid w:val="1B7E0D88"/>
    <w:rsid w:val="1C2B3ECE"/>
    <w:rsid w:val="1C354059"/>
    <w:rsid w:val="1D3D5D17"/>
    <w:rsid w:val="1DB57EDF"/>
    <w:rsid w:val="1E3C794C"/>
    <w:rsid w:val="1EFD4E3F"/>
    <w:rsid w:val="1F120F82"/>
    <w:rsid w:val="1F456A61"/>
    <w:rsid w:val="1FEA3D63"/>
    <w:rsid w:val="200B2815"/>
    <w:rsid w:val="20303594"/>
    <w:rsid w:val="208760C8"/>
    <w:rsid w:val="208E2538"/>
    <w:rsid w:val="2103478D"/>
    <w:rsid w:val="21415B46"/>
    <w:rsid w:val="219C06C7"/>
    <w:rsid w:val="22F15479"/>
    <w:rsid w:val="231A399D"/>
    <w:rsid w:val="24415E66"/>
    <w:rsid w:val="248553AF"/>
    <w:rsid w:val="249A66FD"/>
    <w:rsid w:val="24F01236"/>
    <w:rsid w:val="25131149"/>
    <w:rsid w:val="255973C6"/>
    <w:rsid w:val="255D305C"/>
    <w:rsid w:val="257D0D7B"/>
    <w:rsid w:val="25D84592"/>
    <w:rsid w:val="262E6380"/>
    <w:rsid w:val="26635934"/>
    <w:rsid w:val="26D25598"/>
    <w:rsid w:val="27084E46"/>
    <w:rsid w:val="270C1F17"/>
    <w:rsid w:val="274815F0"/>
    <w:rsid w:val="27537B32"/>
    <w:rsid w:val="27786C5E"/>
    <w:rsid w:val="27D171E0"/>
    <w:rsid w:val="282A264F"/>
    <w:rsid w:val="28664823"/>
    <w:rsid w:val="28EE2E75"/>
    <w:rsid w:val="2911326E"/>
    <w:rsid w:val="2928376B"/>
    <w:rsid w:val="29292876"/>
    <w:rsid w:val="295771E6"/>
    <w:rsid w:val="29DF09A6"/>
    <w:rsid w:val="2A012B32"/>
    <w:rsid w:val="2A2E5413"/>
    <w:rsid w:val="2A706ED1"/>
    <w:rsid w:val="2A95365C"/>
    <w:rsid w:val="2ACC6C6B"/>
    <w:rsid w:val="2B0D6532"/>
    <w:rsid w:val="2BA5399C"/>
    <w:rsid w:val="2C6F3579"/>
    <w:rsid w:val="2C784420"/>
    <w:rsid w:val="2D145EC5"/>
    <w:rsid w:val="2D2D024C"/>
    <w:rsid w:val="2DA27B95"/>
    <w:rsid w:val="2DCA4231"/>
    <w:rsid w:val="2E172668"/>
    <w:rsid w:val="2E6B3A9D"/>
    <w:rsid w:val="2E871900"/>
    <w:rsid w:val="2F085758"/>
    <w:rsid w:val="2F3F7F56"/>
    <w:rsid w:val="2F4F707A"/>
    <w:rsid w:val="2FD45D99"/>
    <w:rsid w:val="2FFC71C6"/>
    <w:rsid w:val="307B5CC3"/>
    <w:rsid w:val="308A4336"/>
    <w:rsid w:val="30B3361E"/>
    <w:rsid w:val="31044F7C"/>
    <w:rsid w:val="31200851"/>
    <w:rsid w:val="31831750"/>
    <w:rsid w:val="3189778C"/>
    <w:rsid w:val="31AA7543"/>
    <w:rsid w:val="31EA5456"/>
    <w:rsid w:val="31EF1FC4"/>
    <w:rsid w:val="323F00BC"/>
    <w:rsid w:val="324700B2"/>
    <w:rsid w:val="330F0153"/>
    <w:rsid w:val="33132CF8"/>
    <w:rsid w:val="3334531C"/>
    <w:rsid w:val="336A3327"/>
    <w:rsid w:val="33713745"/>
    <w:rsid w:val="34264611"/>
    <w:rsid w:val="343E30F0"/>
    <w:rsid w:val="346FC072"/>
    <w:rsid w:val="348E513C"/>
    <w:rsid w:val="34A77C54"/>
    <w:rsid w:val="34B74329"/>
    <w:rsid w:val="34FF4C0B"/>
    <w:rsid w:val="354F3FC5"/>
    <w:rsid w:val="35BC7A15"/>
    <w:rsid w:val="36A26439"/>
    <w:rsid w:val="36A86284"/>
    <w:rsid w:val="36CA36E0"/>
    <w:rsid w:val="372845B2"/>
    <w:rsid w:val="37790A88"/>
    <w:rsid w:val="3787038C"/>
    <w:rsid w:val="37CC35F3"/>
    <w:rsid w:val="37DD6246"/>
    <w:rsid w:val="37FC2378"/>
    <w:rsid w:val="382D7593"/>
    <w:rsid w:val="38622AFA"/>
    <w:rsid w:val="387272BF"/>
    <w:rsid w:val="38865B2F"/>
    <w:rsid w:val="38E250CA"/>
    <w:rsid w:val="391B060E"/>
    <w:rsid w:val="39264334"/>
    <w:rsid w:val="39275408"/>
    <w:rsid w:val="3949339B"/>
    <w:rsid w:val="39824C43"/>
    <w:rsid w:val="398B0B0F"/>
    <w:rsid w:val="39C64A66"/>
    <w:rsid w:val="3AB301FA"/>
    <w:rsid w:val="3B1904CB"/>
    <w:rsid w:val="3B2518DE"/>
    <w:rsid w:val="3B504FA6"/>
    <w:rsid w:val="3BAB1A67"/>
    <w:rsid w:val="3BFE4DC9"/>
    <w:rsid w:val="3C064771"/>
    <w:rsid w:val="3C8F2962"/>
    <w:rsid w:val="3CA67A9F"/>
    <w:rsid w:val="3CDD7A17"/>
    <w:rsid w:val="3DBC0B10"/>
    <w:rsid w:val="3DF44DD4"/>
    <w:rsid w:val="3E051E67"/>
    <w:rsid w:val="3E1079E4"/>
    <w:rsid w:val="3E182457"/>
    <w:rsid w:val="3E88008E"/>
    <w:rsid w:val="3E984FE9"/>
    <w:rsid w:val="3EC80CDE"/>
    <w:rsid w:val="3F033412"/>
    <w:rsid w:val="3F0B45B6"/>
    <w:rsid w:val="3F685D87"/>
    <w:rsid w:val="3F7A3AC2"/>
    <w:rsid w:val="40191044"/>
    <w:rsid w:val="42016010"/>
    <w:rsid w:val="428251DB"/>
    <w:rsid w:val="42C23130"/>
    <w:rsid w:val="42D71D53"/>
    <w:rsid w:val="43974288"/>
    <w:rsid w:val="439F5506"/>
    <w:rsid w:val="440F147B"/>
    <w:rsid w:val="44141429"/>
    <w:rsid w:val="44896D41"/>
    <w:rsid w:val="44D452BA"/>
    <w:rsid w:val="45104BE6"/>
    <w:rsid w:val="460F4F06"/>
    <w:rsid w:val="464A4562"/>
    <w:rsid w:val="46CC6013"/>
    <w:rsid w:val="482B56E1"/>
    <w:rsid w:val="4848609B"/>
    <w:rsid w:val="4852746A"/>
    <w:rsid w:val="4864409A"/>
    <w:rsid w:val="48961A2D"/>
    <w:rsid w:val="48E60C18"/>
    <w:rsid w:val="49346CC6"/>
    <w:rsid w:val="49664C37"/>
    <w:rsid w:val="499A7ACA"/>
    <w:rsid w:val="4AF350DE"/>
    <w:rsid w:val="4B223C16"/>
    <w:rsid w:val="4B37566A"/>
    <w:rsid w:val="4B3F5F2B"/>
    <w:rsid w:val="4BCB614C"/>
    <w:rsid w:val="4BDC5663"/>
    <w:rsid w:val="4C7A639D"/>
    <w:rsid w:val="4CE91A69"/>
    <w:rsid w:val="4CF5205D"/>
    <w:rsid w:val="4DAC348D"/>
    <w:rsid w:val="4E0D626A"/>
    <w:rsid w:val="4E183BFE"/>
    <w:rsid w:val="4E403AAD"/>
    <w:rsid w:val="4EAD6BF5"/>
    <w:rsid w:val="4EBC0748"/>
    <w:rsid w:val="4ECB0493"/>
    <w:rsid w:val="4ECC3762"/>
    <w:rsid w:val="4F2F4720"/>
    <w:rsid w:val="4F4940D8"/>
    <w:rsid w:val="4FE23640"/>
    <w:rsid w:val="4FED4605"/>
    <w:rsid w:val="50023AE7"/>
    <w:rsid w:val="503305EE"/>
    <w:rsid w:val="50561BEF"/>
    <w:rsid w:val="51F5342B"/>
    <w:rsid w:val="52332F51"/>
    <w:rsid w:val="528B5881"/>
    <w:rsid w:val="52A0415B"/>
    <w:rsid w:val="52E13353"/>
    <w:rsid w:val="52FE47AC"/>
    <w:rsid w:val="533A17A5"/>
    <w:rsid w:val="53465E28"/>
    <w:rsid w:val="534B1050"/>
    <w:rsid w:val="5370241B"/>
    <w:rsid w:val="53785E73"/>
    <w:rsid w:val="538B58DC"/>
    <w:rsid w:val="539260FB"/>
    <w:rsid w:val="53FD7C6B"/>
    <w:rsid w:val="54487F56"/>
    <w:rsid w:val="548A3477"/>
    <w:rsid w:val="54AF0073"/>
    <w:rsid w:val="550906E8"/>
    <w:rsid w:val="551B6EF1"/>
    <w:rsid w:val="552160C4"/>
    <w:rsid w:val="557E5EAF"/>
    <w:rsid w:val="55961D9B"/>
    <w:rsid w:val="55F22D46"/>
    <w:rsid w:val="56A81B8F"/>
    <w:rsid w:val="56D02FB6"/>
    <w:rsid w:val="56FE090D"/>
    <w:rsid w:val="5737759B"/>
    <w:rsid w:val="577D74E9"/>
    <w:rsid w:val="57FE2087"/>
    <w:rsid w:val="586B71C9"/>
    <w:rsid w:val="590154BD"/>
    <w:rsid w:val="59527B6B"/>
    <w:rsid w:val="59956CCF"/>
    <w:rsid w:val="59AF7439"/>
    <w:rsid w:val="59CC251A"/>
    <w:rsid w:val="59E33FF0"/>
    <w:rsid w:val="59EA54F5"/>
    <w:rsid w:val="5A5B4E1E"/>
    <w:rsid w:val="5A607799"/>
    <w:rsid w:val="5AED1980"/>
    <w:rsid w:val="5B13142F"/>
    <w:rsid w:val="5B4B2BCB"/>
    <w:rsid w:val="5B98016E"/>
    <w:rsid w:val="5C000884"/>
    <w:rsid w:val="5C224F8E"/>
    <w:rsid w:val="5C240B88"/>
    <w:rsid w:val="5C317F92"/>
    <w:rsid w:val="5E0606ED"/>
    <w:rsid w:val="5E0D1B19"/>
    <w:rsid w:val="5E214E94"/>
    <w:rsid w:val="5E275C6B"/>
    <w:rsid w:val="5E553A15"/>
    <w:rsid w:val="5E5703AB"/>
    <w:rsid w:val="5E7004E1"/>
    <w:rsid w:val="5E7F3F9B"/>
    <w:rsid w:val="5E9D4855"/>
    <w:rsid w:val="5E9E3209"/>
    <w:rsid w:val="5EB7431F"/>
    <w:rsid w:val="5ECD4C7F"/>
    <w:rsid w:val="5EEC66E6"/>
    <w:rsid w:val="5F093C78"/>
    <w:rsid w:val="5F5A1107"/>
    <w:rsid w:val="5F7E1BB9"/>
    <w:rsid w:val="5F831A12"/>
    <w:rsid w:val="5FB95F86"/>
    <w:rsid w:val="5FE1582B"/>
    <w:rsid w:val="5FF94275"/>
    <w:rsid w:val="601163AE"/>
    <w:rsid w:val="6048573D"/>
    <w:rsid w:val="60FF5FDD"/>
    <w:rsid w:val="617E5460"/>
    <w:rsid w:val="61E02C8B"/>
    <w:rsid w:val="625323D6"/>
    <w:rsid w:val="62547A4D"/>
    <w:rsid w:val="62813E61"/>
    <w:rsid w:val="6300246C"/>
    <w:rsid w:val="638239E5"/>
    <w:rsid w:val="638C3D00"/>
    <w:rsid w:val="63E10B0C"/>
    <w:rsid w:val="63F3279C"/>
    <w:rsid w:val="640059A5"/>
    <w:rsid w:val="640612C6"/>
    <w:rsid w:val="647A6E52"/>
    <w:rsid w:val="64EE5D8F"/>
    <w:rsid w:val="6500065A"/>
    <w:rsid w:val="6537764C"/>
    <w:rsid w:val="65E578BD"/>
    <w:rsid w:val="666A4D62"/>
    <w:rsid w:val="668A5EDC"/>
    <w:rsid w:val="66927680"/>
    <w:rsid w:val="66D06442"/>
    <w:rsid w:val="67180D7A"/>
    <w:rsid w:val="6756300A"/>
    <w:rsid w:val="67663F7B"/>
    <w:rsid w:val="6792245C"/>
    <w:rsid w:val="67AC56C6"/>
    <w:rsid w:val="6801069F"/>
    <w:rsid w:val="680F265C"/>
    <w:rsid w:val="687D6CC8"/>
    <w:rsid w:val="68BA7C55"/>
    <w:rsid w:val="68E66C0F"/>
    <w:rsid w:val="690A7BA1"/>
    <w:rsid w:val="69113DCA"/>
    <w:rsid w:val="69130912"/>
    <w:rsid w:val="69CB77D8"/>
    <w:rsid w:val="69D6627D"/>
    <w:rsid w:val="6A323B2C"/>
    <w:rsid w:val="6A524C0E"/>
    <w:rsid w:val="6AC33480"/>
    <w:rsid w:val="6B1806CB"/>
    <w:rsid w:val="6C2646D1"/>
    <w:rsid w:val="6C5A3FCD"/>
    <w:rsid w:val="6C721C9A"/>
    <w:rsid w:val="6C942E03"/>
    <w:rsid w:val="6CB62996"/>
    <w:rsid w:val="6D731B27"/>
    <w:rsid w:val="6D76258B"/>
    <w:rsid w:val="6E7050A9"/>
    <w:rsid w:val="6E7A59CD"/>
    <w:rsid w:val="6E9610D2"/>
    <w:rsid w:val="6E9C25A7"/>
    <w:rsid w:val="6ECD36FF"/>
    <w:rsid w:val="6F1957D5"/>
    <w:rsid w:val="6F535FB4"/>
    <w:rsid w:val="70254438"/>
    <w:rsid w:val="70810F1E"/>
    <w:rsid w:val="71754C6E"/>
    <w:rsid w:val="71DB6825"/>
    <w:rsid w:val="72014BAF"/>
    <w:rsid w:val="7275613E"/>
    <w:rsid w:val="72A04A1F"/>
    <w:rsid w:val="72F24D9D"/>
    <w:rsid w:val="733275F5"/>
    <w:rsid w:val="738026E3"/>
    <w:rsid w:val="73A979E7"/>
    <w:rsid w:val="73F31987"/>
    <w:rsid w:val="74104D2B"/>
    <w:rsid w:val="7432739D"/>
    <w:rsid w:val="744F4674"/>
    <w:rsid w:val="747927C4"/>
    <w:rsid w:val="74F11C15"/>
    <w:rsid w:val="754B170B"/>
    <w:rsid w:val="755146AE"/>
    <w:rsid w:val="756E5C26"/>
    <w:rsid w:val="756F7B86"/>
    <w:rsid w:val="75915D7B"/>
    <w:rsid w:val="759F6029"/>
    <w:rsid w:val="75A82AC5"/>
    <w:rsid w:val="75CA36CA"/>
    <w:rsid w:val="760E66A5"/>
    <w:rsid w:val="762460E6"/>
    <w:rsid w:val="763955BF"/>
    <w:rsid w:val="773A01B0"/>
    <w:rsid w:val="779A49A3"/>
    <w:rsid w:val="77BF6833"/>
    <w:rsid w:val="77FC16E5"/>
    <w:rsid w:val="78810DF7"/>
    <w:rsid w:val="78BC4EF9"/>
    <w:rsid w:val="78C17088"/>
    <w:rsid w:val="78C82F23"/>
    <w:rsid w:val="78FE0A2F"/>
    <w:rsid w:val="792F0912"/>
    <w:rsid w:val="7A383D5A"/>
    <w:rsid w:val="7A7C11A9"/>
    <w:rsid w:val="7A895DC7"/>
    <w:rsid w:val="7AC47EB7"/>
    <w:rsid w:val="7AC64F5C"/>
    <w:rsid w:val="7B4B68E6"/>
    <w:rsid w:val="7B5E04A9"/>
    <w:rsid w:val="7BE41421"/>
    <w:rsid w:val="7C073518"/>
    <w:rsid w:val="7C4079FA"/>
    <w:rsid w:val="7C8F2CF0"/>
    <w:rsid w:val="7F270D2A"/>
    <w:rsid w:val="7FD46120"/>
    <w:rsid w:val="F9F15624"/>
    <w:rsid w:val="FB7166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eastAsia="楷体_GB2312"/>
      <w:b/>
      <w:kern w:val="44"/>
    </w:rPr>
  </w:style>
  <w:style w:type="paragraph" w:styleId="4">
    <w:name w:val="heading 2"/>
    <w:basedOn w:val="1"/>
    <w:next w:val="1"/>
    <w:link w:val="19"/>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2">
    <w:name w:val="heading 3"/>
    <w:basedOn w:val="1"/>
    <w:next w:val="1"/>
    <w:link w:val="21"/>
    <w:semiHidden/>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Body Text"/>
    <w:basedOn w:val="1"/>
    <w:qFormat/>
    <w:uiPriority w:val="0"/>
    <w:rPr>
      <w:sz w:val="28"/>
    </w:rPr>
  </w:style>
  <w:style w:type="paragraph" w:styleId="6">
    <w:name w:val="Body Text Indent"/>
    <w:basedOn w:val="1"/>
    <w:qFormat/>
    <w:uiPriority w:val="0"/>
    <w:pPr>
      <w:spacing w:before="120" w:after="120"/>
      <w:ind w:firstLine="480"/>
    </w:pPr>
    <w:rPr>
      <w:rFonts w:ascii="宋体" w:hAnsi="宋体"/>
      <w:sz w:val="24"/>
      <w:szCs w:val="20"/>
    </w:rPr>
  </w:style>
  <w:style w:type="paragraph" w:styleId="7">
    <w:name w:val="footer"/>
    <w:basedOn w:val="1"/>
    <w:link w:val="18"/>
    <w:qFormat/>
    <w:uiPriority w:val="0"/>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paragraph" w:styleId="10">
    <w:name w:val="Body Text First Indent"/>
    <w:basedOn w:val="5"/>
    <w:qFormat/>
    <w:uiPriority w:val="0"/>
    <w:pPr>
      <w:ind w:firstLine="420" w:firstLineChars="100"/>
    </w:pPr>
  </w:style>
  <w:style w:type="paragraph" w:styleId="11">
    <w:name w:val="Body Text First Indent 2"/>
    <w:basedOn w:val="6"/>
    <w:next w:val="10"/>
    <w:qFormat/>
    <w:uiPriority w:val="0"/>
    <w:pPr>
      <w:spacing w:before="0"/>
      <w:ind w:left="420" w:leftChars="200" w:firstLine="420"/>
    </w:pPr>
  </w:style>
  <w:style w:type="character" w:styleId="14">
    <w:name w:val="Strong"/>
    <w:basedOn w:val="13"/>
    <w:qFormat/>
    <w:uiPriority w:val="22"/>
    <w:rPr>
      <w:b/>
      <w:bCs/>
    </w:rPr>
  </w:style>
  <w:style w:type="character" w:styleId="15">
    <w:name w:val="Hyperlink"/>
    <w:basedOn w:val="13"/>
    <w:qFormat/>
    <w:uiPriority w:val="0"/>
    <w:rPr>
      <w:color w:val="0000FF"/>
      <w:u w:val="single"/>
    </w:rPr>
  </w:style>
  <w:style w:type="paragraph" w:customStyle="1" w:styleId="16">
    <w:name w:val="本文正文"/>
    <w:basedOn w:val="1"/>
    <w:qFormat/>
    <w:uiPriority w:val="0"/>
    <w:pPr>
      <w:spacing w:line="360" w:lineRule="auto"/>
      <w:ind w:firstLine="803"/>
    </w:pPr>
    <w:rPr>
      <w:rFonts w:ascii="宋体" w:hAnsi="宋体"/>
      <w:sz w:val="24"/>
    </w:rPr>
  </w:style>
  <w:style w:type="character" w:customStyle="1" w:styleId="17">
    <w:name w:val="页眉 字符"/>
    <w:basedOn w:val="13"/>
    <w:link w:val="8"/>
    <w:qFormat/>
    <w:uiPriority w:val="0"/>
    <w:rPr>
      <w:rFonts w:ascii="Calibri" w:hAnsi="Calibri" w:eastAsia="仿宋_GB2312"/>
      <w:kern w:val="2"/>
      <w:sz w:val="18"/>
      <w:szCs w:val="18"/>
    </w:rPr>
  </w:style>
  <w:style w:type="character" w:customStyle="1" w:styleId="18">
    <w:name w:val="页脚 字符"/>
    <w:basedOn w:val="13"/>
    <w:link w:val="7"/>
    <w:qFormat/>
    <w:uiPriority w:val="0"/>
    <w:rPr>
      <w:rFonts w:ascii="Calibri" w:hAnsi="Calibri" w:eastAsia="仿宋_GB2312"/>
      <w:kern w:val="2"/>
      <w:sz w:val="18"/>
      <w:szCs w:val="18"/>
    </w:rPr>
  </w:style>
  <w:style w:type="character" w:customStyle="1" w:styleId="19">
    <w:name w:val="标题 2 字符"/>
    <w:basedOn w:val="13"/>
    <w:link w:val="4"/>
    <w:semiHidden/>
    <w:qFormat/>
    <w:uiPriority w:val="0"/>
    <w:rPr>
      <w:rFonts w:asciiTheme="majorHAnsi" w:hAnsiTheme="majorHAnsi" w:eastAsiaTheme="majorEastAsia" w:cstheme="majorBidi"/>
      <w:b/>
      <w:bCs/>
      <w:kern w:val="2"/>
      <w:sz w:val="32"/>
      <w:szCs w:val="32"/>
    </w:rPr>
  </w:style>
  <w:style w:type="paragraph" w:customStyle="1" w:styleId="20">
    <w:name w:val="列出段落2"/>
    <w:basedOn w:val="1"/>
    <w:qFormat/>
    <w:uiPriority w:val="34"/>
    <w:pPr>
      <w:ind w:firstLine="420" w:firstLineChars="200"/>
    </w:pPr>
  </w:style>
  <w:style w:type="character" w:customStyle="1" w:styleId="21">
    <w:name w:val="标题 3 字符"/>
    <w:basedOn w:val="13"/>
    <w:link w:val="2"/>
    <w:qFormat/>
    <w:uiPriority w:val="0"/>
    <w:rPr>
      <w:rFonts w:hint="default" w:ascii="Calibri" w:hAnsi="Calibri" w:cs="Calibri"/>
      <w:b/>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7</Pages>
  <Words>3299</Words>
  <Characters>3509</Characters>
  <Lines>28</Lines>
  <Paragraphs>8</Paragraphs>
  <TotalTime>1</TotalTime>
  <ScaleCrop>false</ScaleCrop>
  <LinksUpToDate>false</LinksUpToDate>
  <CharactersWithSpaces>3533</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2020-12-18T14:54:00Z</dcterms:created>
  <dc:creator>zhenyongwen</dc:creator>
  <cp:lastModifiedBy>huangyw2</cp:lastModifiedBy>
  <dcterms:modified xsi:type="dcterms:W3CDTF">2022-11-11T15:04:53Z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2BCBADEB164F420AB7CA92621D404113</vt:lpwstr>
  </property>
  <property fmtid="{D5CDD505-2E9C-101B-9397-08002B2CF9AE}" pid="4" name="commondata">
    <vt:lpwstr>eyJoZGlkIjoiMzFkNWY3MDE3M2RiODhiZTRhOWM0N2VmNTEzZWI5MGUifQ==</vt:lpwstr>
  </property>
</Properties>
</file>