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Arial"/>
          <w:color w:val="auto"/>
          <w:kern w:val="0"/>
          <w:szCs w:val="32"/>
          <w:lang w:eastAsia="zh-CN"/>
        </w:rPr>
      </w:pPr>
      <w:r>
        <w:rPr>
          <w:rFonts w:hint="eastAsia" w:ascii="黑体" w:hAnsi="黑体" w:eastAsia="黑体" w:cs="Arial"/>
          <w:color w:val="auto"/>
          <w:kern w:val="0"/>
          <w:szCs w:val="32"/>
        </w:rPr>
        <w:t>附件</w:t>
      </w:r>
      <w:r>
        <w:rPr>
          <w:rFonts w:hint="eastAsia" w:ascii="黑体" w:hAnsi="黑体" w:eastAsia="黑体" w:cs="Arial"/>
          <w:color w:val="auto"/>
          <w:kern w:val="0"/>
          <w:szCs w:val="32"/>
          <w:lang w:val="en-US" w:eastAsia="zh-CN"/>
        </w:rPr>
        <w:t>2</w:t>
      </w:r>
    </w:p>
    <w:p>
      <w:pPr>
        <w:keepNext w:val="0"/>
        <w:keepLines w:val="0"/>
        <w:pageBreakBefore w:val="0"/>
        <w:kinsoku/>
        <w:wordWrap/>
        <w:overflowPunct/>
        <w:topLinePunct w:val="0"/>
        <w:autoSpaceDE/>
        <w:autoSpaceDN/>
        <w:bidi w:val="0"/>
        <w:adjustRightInd/>
        <w:snapToGrid/>
        <w:spacing w:line="560" w:lineRule="exact"/>
        <w:ind w:firstLine="832"/>
        <w:jc w:val="center"/>
        <w:textAlignment w:val="auto"/>
        <w:rPr>
          <w:rFonts w:ascii="方正小标宋简体" w:hAnsi="方正小标宋简体" w:eastAsia="方正小标宋简体" w:cs="方正小标宋简体"/>
          <w:color w:val="auto"/>
          <w:spacing w:val="-12"/>
          <w:sz w:val="44"/>
          <w:szCs w:val="44"/>
        </w:rPr>
      </w:pPr>
      <w:r>
        <w:rPr>
          <w:rFonts w:hint="eastAsia" w:ascii="华文中宋" w:hAnsi="华文中宋" w:eastAsia="华文中宋" w:cs="华文中宋"/>
          <w:color w:val="auto"/>
          <w:spacing w:val="-12"/>
          <w:sz w:val="44"/>
          <w:szCs w:val="44"/>
        </w:rPr>
        <w:t>部分不合格项目小知识</w:t>
      </w:r>
    </w:p>
    <w:p>
      <w:pPr>
        <w:pStyle w:val="11"/>
        <w:keepNext w:val="0"/>
        <w:keepLines w:val="0"/>
        <w:pageBreakBefore w:val="0"/>
        <w:kinsoku/>
        <w:wordWrap/>
        <w:overflowPunct/>
        <w:topLinePunct w:val="0"/>
        <w:autoSpaceDE/>
        <w:autoSpaceDN/>
        <w:bidi w:val="0"/>
        <w:adjustRightInd/>
        <w:snapToGrid/>
        <w:spacing w:after="0" w:line="560" w:lineRule="exact"/>
        <w:ind w:left="640" w:firstLine="480"/>
        <w:textAlignment w:val="auto"/>
        <w:rPr>
          <w:color w:val="auto"/>
        </w:rPr>
      </w:pPr>
    </w:p>
    <w:p>
      <w:pPr>
        <w:keepNext w:val="0"/>
        <w:keepLines w:val="0"/>
        <w:pageBreakBefore w:val="0"/>
        <w:kinsoku/>
        <w:wordWrap/>
        <w:overflowPunct/>
        <w:topLinePunct w:val="0"/>
        <w:autoSpaceDE/>
        <w:autoSpaceDN/>
        <w:bidi w:val="0"/>
        <w:adjustRightInd/>
        <w:snapToGrid/>
        <w:spacing w:line="560" w:lineRule="exact"/>
        <w:ind w:firstLine="643"/>
        <w:textAlignment w:val="auto"/>
        <w:rPr>
          <w:rFonts w:ascii="黑体" w:hAnsi="黑体" w:eastAsia="黑体" w:cs="黑体"/>
          <w:b w:val="0"/>
          <w:bCs w:val="0"/>
          <w:color w:val="auto"/>
          <w:szCs w:val="32"/>
        </w:rPr>
      </w:pPr>
      <w:r>
        <w:rPr>
          <w:rFonts w:hint="eastAsia" w:ascii="黑体" w:hAnsi="黑体" w:eastAsia="黑体" w:cs="黑体"/>
          <w:b w:val="0"/>
          <w:bCs w:val="0"/>
          <w:color w:val="auto"/>
          <w:szCs w:val="32"/>
        </w:rPr>
        <w:t>一、不合格项目小知识</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一</w:t>
      </w:r>
      <w:r>
        <w:rPr>
          <w:rFonts w:hint="eastAsia" w:ascii="方正楷体_GB2312" w:hAnsi="方正楷体_GB2312" w:eastAsia="方正楷体_GB2312" w:cs="方正楷体_GB2312"/>
          <w:b/>
          <w:sz w:val="32"/>
          <w:szCs w:val="32"/>
          <w:lang w:val="zh-CN" w:eastAsia="zh-CN"/>
        </w:rPr>
        <w:t>）过氧化值</w:t>
      </w:r>
    </w:p>
    <w:p>
      <w:pPr>
        <w:keepNext w:val="0"/>
        <w:keepLines w:val="0"/>
        <w:widowControl/>
        <w:suppressLineNumbers w:val="0"/>
        <w:jc w:val="both"/>
        <w:rPr>
          <w:rFonts w:hint="eastAsia" w:ascii="仿宋_GB2312" w:hAnsi="仿宋" w:eastAsia="仿宋_GB2312" w:cs="仿宋"/>
          <w:color w:val="auto"/>
          <w:kern w:val="2"/>
          <w:sz w:val="32"/>
          <w:szCs w:val="32"/>
          <w:lang w:val="en-US" w:eastAsia="zh-CN" w:bidi="ar-SA"/>
        </w:rPr>
      </w:pPr>
      <w:r>
        <w:rPr>
          <w:rFonts w:hint="eastAsia" w:ascii="仿宋_GB2312" w:hAnsi="仿宋" w:eastAsia="仿宋_GB2312" w:cs="仿宋"/>
          <w:color w:val="auto"/>
          <w:kern w:val="2"/>
          <w:sz w:val="32"/>
          <w:szCs w:val="32"/>
          <w:lang w:val="en-US" w:eastAsia="zh-CN" w:bidi="ar-SA"/>
        </w:rPr>
        <w:t>过氧化值主要反映食品中油脂是否氧化变质。随着油脂被氧化，过氧化值会逐步升高。</w:t>
      </w:r>
      <w:r>
        <w:rPr>
          <w:rFonts w:hint="eastAsia" w:ascii="仿宋_GB2312" w:hAnsi="仿宋" w:eastAsia="仿宋_GB2312" w:cs="仿宋"/>
          <w:sz w:val="32"/>
          <w:szCs w:val="32"/>
        </w:rPr>
        <w:t>《食品安全国家标准 糕点、 面包》</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rPr>
        <w:t>GB 7099-2015</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rPr>
        <w:t>中规定，</w:t>
      </w:r>
      <w:r>
        <w:rPr>
          <w:rFonts w:hint="eastAsia" w:ascii="仿宋_GB2312" w:hAnsi="仿宋" w:cs="仿宋"/>
          <w:sz w:val="32"/>
          <w:szCs w:val="32"/>
          <w:lang w:eastAsia="zh-CN"/>
        </w:rPr>
        <w:t>糕点</w:t>
      </w:r>
      <w:r>
        <w:rPr>
          <w:rFonts w:hint="eastAsia" w:ascii="仿宋_GB2312" w:hAnsi="仿宋" w:eastAsia="仿宋_GB2312" w:cs="仿宋"/>
          <w:sz w:val="32"/>
          <w:szCs w:val="32"/>
        </w:rPr>
        <w:t>的过氧化值(以脂肪计)应≤0.</w:t>
      </w:r>
      <w:r>
        <w:rPr>
          <w:rFonts w:hint="eastAsia" w:ascii="仿宋_GB2312" w:hAnsi="仿宋" w:cs="仿宋"/>
          <w:sz w:val="32"/>
          <w:szCs w:val="32"/>
          <w:lang w:val="en-US" w:eastAsia="zh-CN"/>
        </w:rPr>
        <w:t>25</w:t>
      </w:r>
      <w:r>
        <w:rPr>
          <w:rFonts w:hint="eastAsia" w:ascii="仿宋_GB2312" w:hAnsi="仿宋" w:eastAsia="仿宋_GB2312" w:cs="仿宋"/>
          <w:sz w:val="32"/>
          <w:szCs w:val="32"/>
        </w:rPr>
        <w:t>g/100g。</w:t>
      </w:r>
      <w:r>
        <w:rPr>
          <w:rFonts w:hint="eastAsia" w:ascii="仿宋_GB2312" w:hAnsi="仿宋" w:eastAsia="仿宋_GB2312" w:cs="仿宋"/>
          <w:color w:val="auto"/>
          <w:kern w:val="2"/>
          <w:sz w:val="32"/>
          <w:szCs w:val="32"/>
          <w:lang w:val="en-US" w:eastAsia="zh-CN" w:bidi="ar-SA"/>
        </w:rPr>
        <w:t>食用过氧化值过高的食品可能会导致肠胃不适、腹泻等症状。</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二</w:t>
      </w:r>
      <w:r>
        <w:rPr>
          <w:rFonts w:hint="eastAsia" w:ascii="方正楷体_GB2312" w:hAnsi="方正楷体_GB2312" w:eastAsia="方正楷体_GB2312" w:cs="方正楷体_GB2312"/>
          <w:b/>
          <w:sz w:val="32"/>
          <w:szCs w:val="32"/>
          <w:lang w:val="zh-CN" w:eastAsia="zh-CN"/>
        </w:rPr>
        <w:t>）菌落总数</w:t>
      </w:r>
    </w:p>
    <w:p>
      <w:pPr>
        <w:spacing w:line="560" w:lineRule="exact"/>
        <w:ind w:firstLine="640" w:firstLineChars="200"/>
        <w:rPr>
          <w:rFonts w:hint="eastAsia" w:ascii="仿宋_GB2312" w:hAnsi="仿宋" w:eastAsia="仿宋_GB2312" w:cs="华文中宋"/>
          <w:color w:val="auto"/>
          <w:kern w:val="2"/>
          <w:sz w:val="32"/>
          <w:szCs w:val="32"/>
          <w:lang w:val="en-US" w:eastAsia="zh-CN" w:bidi="ar-SA"/>
        </w:rPr>
      </w:pPr>
      <w:r>
        <w:rPr>
          <w:rFonts w:hint="eastAsia" w:ascii="仿宋_GB2312" w:hAnsi="仿宋" w:eastAsia="仿宋_GB2312" w:cs="华文中宋"/>
          <w:color w:val="auto"/>
          <w:kern w:val="2"/>
          <w:sz w:val="32"/>
          <w:szCs w:val="32"/>
          <w:lang w:val="en-US" w:eastAsia="zh-CN" w:bidi="ar-SA"/>
        </w:rPr>
        <w:t>菌落总数是指示性微生物指标，并非致病菌指标，主要用来评价食品清洁度，反映食品在生产过程中是否符合卫生要求，一定程度上标志着食品卫生质量的优劣。</w:t>
      </w:r>
      <w:r>
        <w:rPr>
          <w:rFonts w:hint="eastAsia" w:ascii="仿宋_GB2312" w:hAnsi="仿宋" w:eastAsia="仿宋_GB2312"/>
          <w:color w:val="000000" w:themeColor="text1"/>
          <w:sz w:val="32"/>
          <w:szCs w:val="32"/>
          <w14:textFill>
            <w14:solidFill>
              <w14:schemeClr w14:val="tx1"/>
            </w14:solidFill>
          </w14:textFill>
        </w:rPr>
        <w:t>《食品安全国家标准 蜜饯》</w:t>
      </w:r>
      <w:r>
        <w:rPr>
          <w:rFonts w:hint="eastAsia" w:ascii="仿宋_GB2312" w:hAnsi="仿宋"/>
          <w:color w:val="000000" w:themeColor="text1"/>
          <w:sz w:val="32"/>
          <w:szCs w:val="32"/>
          <w:lang w:val="en-US" w:eastAsia="zh-CN"/>
          <w14:textFill>
            <w14:solidFill>
              <w14:schemeClr w14:val="tx1"/>
            </w14:solidFill>
          </w14:textFill>
        </w:rPr>
        <w:t>(</w:t>
      </w:r>
      <w:r>
        <w:rPr>
          <w:rFonts w:hint="eastAsia" w:ascii="仿宋_GB2312" w:hAnsi="仿宋" w:eastAsia="仿宋_GB2312"/>
          <w:color w:val="000000" w:themeColor="text1"/>
          <w:sz w:val="32"/>
          <w:szCs w:val="32"/>
          <w14:textFill>
            <w14:solidFill>
              <w14:schemeClr w14:val="tx1"/>
            </w14:solidFill>
          </w14:textFill>
        </w:rPr>
        <w:t>GB 14884-2016</w:t>
      </w:r>
      <w:r>
        <w:rPr>
          <w:rFonts w:hint="eastAsia" w:ascii="仿宋_GB2312" w:hAnsi="仿宋"/>
          <w:color w:val="000000" w:themeColor="text1"/>
          <w:sz w:val="32"/>
          <w:szCs w:val="32"/>
          <w:lang w:val="en-US" w:eastAsia="zh-CN"/>
          <w14:textFill>
            <w14:solidFill>
              <w14:schemeClr w14:val="tx1"/>
            </w14:solidFill>
          </w14:textFill>
        </w:rPr>
        <w:t>)</w:t>
      </w:r>
      <w:r>
        <w:rPr>
          <w:rFonts w:hint="eastAsia" w:ascii="仿宋_GB2312" w:hAnsi="仿宋" w:eastAsia="仿宋_GB2312" w:cs="仿宋"/>
          <w:sz w:val="32"/>
          <w:szCs w:val="32"/>
        </w:rPr>
        <w:t>中规定，</w:t>
      </w:r>
      <w:r>
        <w:rPr>
          <w:rFonts w:hint="eastAsia" w:ascii="仿宋_GB2312" w:hAnsi="仿宋" w:eastAsia="仿宋_GB2312"/>
          <w:color w:val="000000" w:themeColor="text1"/>
          <w:sz w:val="32"/>
          <w:szCs w:val="32"/>
          <w14:textFill>
            <w14:solidFill>
              <w14:schemeClr w14:val="tx1"/>
            </w14:solidFill>
          </w14:textFill>
        </w:rPr>
        <w:t>从一批产品中采集5个样品，若5个样品的检验结果均小于或等于m值（≤10</w:t>
      </w:r>
      <w:r>
        <w:rPr>
          <w:rFonts w:hint="eastAsia" w:ascii="仿宋_GB2312" w:hAnsi="仿宋"/>
          <w:color w:val="000000" w:themeColor="text1"/>
          <w:sz w:val="32"/>
          <w:szCs w:val="32"/>
          <w:vertAlign w:val="superscript"/>
          <w:lang w:val="en-US" w:eastAsia="zh-CN"/>
          <w14:textFill>
            <w14:solidFill>
              <w14:schemeClr w14:val="tx1"/>
            </w14:solidFill>
          </w14:textFill>
        </w:rPr>
        <w:t>3</w:t>
      </w:r>
      <w:r>
        <w:rPr>
          <w:rFonts w:hint="eastAsia" w:ascii="仿宋_GB2312" w:hAnsi="仿宋" w:eastAsia="仿宋_GB2312"/>
          <w:color w:val="000000" w:themeColor="text1"/>
          <w:sz w:val="32"/>
          <w:szCs w:val="32"/>
          <w14:textFill>
            <w14:solidFill>
              <w14:schemeClr w14:val="tx1"/>
            </w14:solidFill>
          </w14:textFill>
        </w:rPr>
        <w:t>CFU/g），则这种情况是允许的；若≤2个样品的结果（X）位于m值和M值之间（10</w:t>
      </w:r>
      <w:r>
        <w:rPr>
          <w:rFonts w:hint="eastAsia" w:ascii="仿宋_GB2312" w:hAnsi="仿宋"/>
          <w:color w:val="000000" w:themeColor="text1"/>
          <w:sz w:val="32"/>
          <w:szCs w:val="32"/>
          <w:vertAlign w:val="superscript"/>
          <w:lang w:val="en-US" w:eastAsia="zh-CN"/>
          <w14:textFill>
            <w14:solidFill>
              <w14:schemeClr w14:val="tx1"/>
            </w14:solidFill>
          </w14:textFill>
        </w:rPr>
        <w:t>3</w:t>
      </w:r>
      <w:r>
        <w:rPr>
          <w:rFonts w:hint="eastAsia" w:ascii="仿宋_GB2312" w:hAnsi="仿宋" w:eastAsia="仿宋_GB2312"/>
          <w:color w:val="000000" w:themeColor="text1"/>
          <w:sz w:val="32"/>
          <w:szCs w:val="32"/>
          <w14:textFill>
            <w14:solidFill>
              <w14:schemeClr w14:val="tx1"/>
            </w14:solidFill>
          </w14:textFill>
        </w:rPr>
        <w:t>CFU/g＜X≤10</w:t>
      </w:r>
      <w:r>
        <w:rPr>
          <w:rFonts w:hint="eastAsia" w:ascii="仿宋_GB2312" w:hAnsi="仿宋"/>
          <w:color w:val="000000" w:themeColor="text1"/>
          <w:sz w:val="32"/>
          <w:szCs w:val="32"/>
          <w:vertAlign w:val="superscript"/>
          <w:lang w:val="en-US" w:eastAsia="zh-CN"/>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CFU/g）,则这种情况也是允许的；若有3个及以上的样品检验结果位于m值和M值之间，则这种情况是不允许的；若有任一样品的检验结果大于M值（＞10</w:t>
      </w:r>
      <w:r>
        <w:rPr>
          <w:rFonts w:hint="eastAsia" w:ascii="仿宋_GB2312" w:hAnsi="仿宋"/>
          <w:color w:val="000000" w:themeColor="text1"/>
          <w:sz w:val="32"/>
          <w:szCs w:val="32"/>
          <w:vertAlign w:val="superscript"/>
          <w:lang w:val="en-US" w:eastAsia="zh-CN"/>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CFU/g），则这种情况也是不允许的。《食品馅料》</w:t>
      </w:r>
      <w:r>
        <w:rPr>
          <w:rFonts w:hint="eastAsia" w:ascii="仿宋_GB2312" w:hAnsi="仿宋"/>
          <w:color w:val="000000" w:themeColor="text1"/>
          <w:sz w:val="32"/>
          <w:szCs w:val="32"/>
          <w:lang w:val="en-US" w:eastAsia="zh-CN"/>
          <w14:textFill>
            <w14:solidFill>
              <w14:schemeClr w14:val="tx1"/>
            </w14:solidFill>
          </w14:textFill>
        </w:rPr>
        <w:t>(</w:t>
      </w:r>
      <w:r>
        <w:rPr>
          <w:rFonts w:hint="eastAsia" w:ascii="仿宋_GB2312" w:hAnsi="仿宋" w:eastAsia="仿宋_GB2312"/>
          <w:color w:val="000000" w:themeColor="text1"/>
          <w:sz w:val="32"/>
          <w:szCs w:val="32"/>
          <w14:textFill>
            <w14:solidFill>
              <w14:schemeClr w14:val="tx1"/>
            </w14:solidFill>
          </w14:textFill>
        </w:rPr>
        <w:t>GB/T 21270-2007</w:t>
      </w:r>
      <w:r>
        <w:rPr>
          <w:rFonts w:hint="eastAsia" w:ascii="仿宋_GB2312" w:hAnsi="仿宋"/>
          <w:color w:val="000000" w:themeColor="text1"/>
          <w:sz w:val="32"/>
          <w:szCs w:val="32"/>
          <w:lang w:val="en-US" w:eastAsia="zh-CN"/>
          <w14:textFill>
            <w14:solidFill>
              <w14:schemeClr w14:val="tx1"/>
            </w14:solidFill>
          </w14:textFill>
        </w:rPr>
        <w:t>)</w:t>
      </w:r>
      <w:r>
        <w:rPr>
          <w:rFonts w:hint="eastAsia" w:ascii="仿宋_GB2312" w:hAnsi="仿宋" w:eastAsia="仿宋_GB2312" w:cs="仿宋"/>
          <w:sz w:val="32"/>
          <w:szCs w:val="32"/>
        </w:rPr>
        <w:t>中规定，</w:t>
      </w:r>
      <w:r>
        <w:rPr>
          <w:rFonts w:hint="eastAsia" w:ascii="仿宋_GB2312" w:hAnsi="仿宋" w:eastAsia="仿宋_GB2312"/>
          <w:color w:val="000000" w:themeColor="text1"/>
          <w:sz w:val="32"/>
          <w:szCs w:val="32"/>
          <w14:textFill>
            <w14:solidFill>
              <w14:schemeClr w14:val="tx1"/>
            </w14:solidFill>
          </w14:textFill>
        </w:rPr>
        <w:t>从一批产品中采集5个样品，若5个样品的检验结果均小于或等于m值（≤10</w:t>
      </w:r>
      <w:r>
        <w:rPr>
          <w:rFonts w:hint="eastAsia" w:ascii="仿宋_GB2312" w:hAnsi="仿宋"/>
          <w:color w:val="000000" w:themeColor="text1"/>
          <w:sz w:val="32"/>
          <w:szCs w:val="32"/>
          <w:vertAlign w:val="superscript"/>
          <w:lang w:val="en-US" w:eastAsia="zh-CN"/>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CFU/g），则这种情况是允许的；若≤2个样品的结果（X）位于m值和M值之间（10</w:t>
      </w:r>
      <w:r>
        <w:rPr>
          <w:rFonts w:hint="eastAsia" w:ascii="仿宋_GB2312" w:hAnsi="仿宋"/>
          <w:color w:val="000000" w:themeColor="text1"/>
          <w:sz w:val="32"/>
          <w:szCs w:val="32"/>
          <w:vertAlign w:val="superscript"/>
          <w:lang w:val="en-US" w:eastAsia="zh-CN"/>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CFU/g＜X≤10</w:t>
      </w:r>
      <w:r>
        <w:rPr>
          <w:rFonts w:hint="eastAsia" w:ascii="仿宋_GB2312" w:hAnsi="仿宋"/>
          <w:color w:val="000000" w:themeColor="text1"/>
          <w:sz w:val="32"/>
          <w:szCs w:val="32"/>
          <w:vertAlign w:val="superscript"/>
          <w:lang w:val="en-US" w:eastAsia="zh-CN"/>
          <w14:textFill>
            <w14:solidFill>
              <w14:schemeClr w14:val="tx1"/>
            </w14:solidFill>
          </w14:textFill>
        </w:rPr>
        <w:t>5</w:t>
      </w:r>
      <w:r>
        <w:rPr>
          <w:rFonts w:hint="eastAsia" w:ascii="仿宋_GB2312" w:hAnsi="仿宋" w:eastAsia="仿宋_GB2312"/>
          <w:color w:val="000000" w:themeColor="text1"/>
          <w:sz w:val="32"/>
          <w:szCs w:val="32"/>
          <w14:textFill>
            <w14:solidFill>
              <w14:schemeClr w14:val="tx1"/>
            </w14:solidFill>
          </w14:textFill>
        </w:rPr>
        <w:t>CFU/g）,则这种情况也是允许的；若有3个及以上的样品检验结果位于m值和M值之间，则这种情况是不允许的；若有任一样品的检验结果大于M值（＞10</w:t>
      </w:r>
      <w:r>
        <w:rPr>
          <w:rFonts w:hint="eastAsia" w:ascii="仿宋_GB2312" w:hAnsi="仿宋"/>
          <w:color w:val="000000" w:themeColor="text1"/>
          <w:sz w:val="32"/>
          <w:szCs w:val="32"/>
          <w:vertAlign w:val="superscript"/>
          <w:lang w:val="en-US" w:eastAsia="zh-CN"/>
          <w14:textFill>
            <w14:solidFill>
              <w14:schemeClr w14:val="tx1"/>
            </w14:solidFill>
          </w14:textFill>
        </w:rPr>
        <w:t>5</w:t>
      </w:r>
      <w:r>
        <w:rPr>
          <w:rFonts w:hint="eastAsia" w:ascii="仿宋_GB2312" w:hAnsi="仿宋" w:eastAsia="仿宋_GB2312"/>
          <w:color w:val="000000" w:themeColor="text1"/>
          <w:sz w:val="32"/>
          <w:szCs w:val="32"/>
          <w14:textFill>
            <w14:solidFill>
              <w14:schemeClr w14:val="tx1"/>
            </w14:solidFill>
          </w14:textFill>
        </w:rPr>
        <w:t>CFU/g），则这种情况也是不允许的。</w:t>
      </w:r>
      <w:r>
        <w:rPr>
          <w:rFonts w:hint="eastAsia" w:ascii="仿宋_GB2312" w:hAnsi="仿宋" w:eastAsia="仿宋_GB2312"/>
          <w:sz w:val="32"/>
          <w:szCs w:val="32"/>
        </w:rPr>
        <w:t>《食品安全国家标准 熟肉制品》（GB 2726-2016）</w:t>
      </w:r>
      <w:r>
        <w:rPr>
          <w:rFonts w:hint="eastAsia" w:ascii="仿宋_GB2312" w:hAnsi="仿宋" w:eastAsia="仿宋_GB2312" w:cs="仿宋"/>
          <w:sz w:val="32"/>
          <w:szCs w:val="32"/>
        </w:rPr>
        <w:t>中规定，</w:t>
      </w:r>
      <w:r>
        <w:rPr>
          <w:rFonts w:hint="eastAsia" w:ascii="仿宋_GB2312" w:hAnsi="仿宋" w:cs="仿宋"/>
          <w:sz w:val="32"/>
          <w:szCs w:val="32"/>
          <w:lang w:eastAsia="zh-CN"/>
        </w:rPr>
        <w:t>熟肉制品（发酵肉制品类除外）</w:t>
      </w:r>
      <w:r>
        <w:rPr>
          <w:rFonts w:hint="eastAsia" w:ascii="仿宋_GB2312" w:hAnsi="仿宋" w:eastAsia="仿宋_GB2312"/>
          <w:color w:val="000000" w:themeColor="text1"/>
          <w:sz w:val="32"/>
          <w:szCs w:val="32"/>
          <w14:textFill>
            <w14:solidFill>
              <w14:schemeClr w14:val="tx1"/>
            </w14:solidFill>
          </w14:textFill>
        </w:rPr>
        <w:t>从一批产品中采集5个样品，若5个样品的检验结果均小于或等于m值（≤10</w:t>
      </w:r>
      <w:r>
        <w:rPr>
          <w:rFonts w:hint="eastAsia" w:ascii="仿宋_GB2312" w:hAnsi="仿宋"/>
          <w:color w:val="000000" w:themeColor="text1"/>
          <w:sz w:val="32"/>
          <w:szCs w:val="32"/>
          <w:vertAlign w:val="superscript"/>
          <w:lang w:val="en-US" w:eastAsia="zh-CN"/>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CFU/g），则这种情况是允许的；若≤2个样品的结果（X）位于m值和M值之间（10</w:t>
      </w:r>
      <w:r>
        <w:rPr>
          <w:rFonts w:hint="eastAsia" w:ascii="仿宋_GB2312" w:hAnsi="仿宋"/>
          <w:color w:val="000000" w:themeColor="text1"/>
          <w:sz w:val="32"/>
          <w:szCs w:val="32"/>
          <w:vertAlign w:val="superscript"/>
          <w:lang w:val="en-US" w:eastAsia="zh-CN"/>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CFU/g＜X≤10</w:t>
      </w:r>
      <w:r>
        <w:rPr>
          <w:rFonts w:hint="eastAsia" w:ascii="仿宋_GB2312" w:hAnsi="仿宋"/>
          <w:color w:val="000000" w:themeColor="text1"/>
          <w:sz w:val="32"/>
          <w:szCs w:val="32"/>
          <w:vertAlign w:val="superscript"/>
          <w:lang w:val="en-US" w:eastAsia="zh-CN"/>
          <w14:textFill>
            <w14:solidFill>
              <w14:schemeClr w14:val="tx1"/>
            </w14:solidFill>
          </w14:textFill>
        </w:rPr>
        <w:t>5</w:t>
      </w:r>
      <w:r>
        <w:rPr>
          <w:rFonts w:hint="eastAsia" w:ascii="仿宋_GB2312" w:hAnsi="仿宋" w:eastAsia="仿宋_GB2312"/>
          <w:color w:val="000000" w:themeColor="text1"/>
          <w:sz w:val="32"/>
          <w:szCs w:val="32"/>
          <w14:textFill>
            <w14:solidFill>
              <w14:schemeClr w14:val="tx1"/>
            </w14:solidFill>
          </w14:textFill>
        </w:rPr>
        <w:t>CFU/g）,则这种情况也是允许的；若有3个及以上的样品检验结果位于m值和M值之间，则这种情况是不允许的；若有任一样品的检验结果大于M值（＞10</w:t>
      </w:r>
      <w:r>
        <w:rPr>
          <w:rFonts w:hint="eastAsia" w:ascii="仿宋_GB2312" w:hAnsi="仿宋"/>
          <w:color w:val="000000" w:themeColor="text1"/>
          <w:sz w:val="32"/>
          <w:szCs w:val="32"/>
          <w:vertAlign w:val="superscript"/>
          <w:lang w:val="en-US" w:eastAsia="zh-CN"/>
          <w14:textFill>
            <w14:solidFill>
              <w14:schemeClr w14:val="tx1"/>
            </w14:solidFill>
          </w14:textFill>
        </w:rPr>
        <w:t>5</w:t>
      </w:r>
      <w:r>
        <w:rPr>
          <w:rFonts w:hint="eastAsia" w:ascii="仿宋_GB2312" w:hAnsi="仿宋" w:eastAsia="仿宋_GB2312"/>
          <w:color w:val="000000" w:themeColor="text1"/>
          <w:sz w:val="32"/>
          <w:szCs w:val="32"/>
          <w14:textFill>
            <w14:solidFill>
              <w14:schemeClr w14:val="tx1"/>
            </w14:solidFill>
          </w14:textFill>
        </w:rPr>
        <w:t>CFU/g），则这种情况也是不允许的。</w:t>
      </w:r>
      <w:r>
        <w:rPr>
          <w:rFonts w:hint="eastAsia" w:ascii="仿宋_GB2312" w:hAnsi="仿宋" w:eastAsia="仿宋_GB2312" w:cs="华文中宋"/>
          <w:color w:val="auto"/>
          <w:kern w:val="2"/>
          <w:sz w:val="32"/>
          <w:szCs w:val="32"/>
          <w:lang w:val="en-US" w:eastAsia="zh-CN" w:bidi="ar-SA"/>
        </w:rPr>
        <w:t>食品的菌落总数超标，说明产品的卫生状况达不到基本的卫生要求，将会破坏食品的营养成分，加速食品的腐败变质，使食品失去食用价值。消费者食用菌落总数超标严重的食品，容易患痢疾等肠道疾病，会引起呕吐、腹泻等症状。</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（三）甜蜜素(以环己基氨基磺酸计)</w:t>
      </w:r>
    </w:p>
    <w:p>
      <w:pPr>
        <w:spacing w:line="560" w:lineRule="exact"/>
        <w:ind w:firstLine="640" w:firstLineChars="200"/>
        <w:rPr>
          <w:rFonts w:hint="eastAsia" w:ascii="仿宋_GB2312" w:hAnsi="仿宋" w:eastAsia="仿宋_GB2312" w:cs="宋体"/>
          <w:color w:val="000000"/>
          <w:kern w:val="0"/>
          <w:sz w:val="32"/>
          <w:szCs w:val="32"/>
          <w:lang w:val="en-US" w:eastAsia="zh-CN" w:bidi="ar-SA"/>
        </w:rPr>
      </w:pPr>
      <w:r>
        <w:rPr>
          <w:rFonts w:hint="eastAsia" w:ascii="仿宋_GB2312" w:hAnsi="仿宋" w:eastAsia="仿宋_GB2312" w:cs="宋体"/>
          <w:color w:val="000000"/>
          <w:kern w:val="0"/>
          <w:sz w:val="32"/>
          <w:szCs w:val="32"/>
          <w:lang w:val="en-US" w:eastAsia="zh-CN" w:bidi="ar-SA"/>
        </w:rPr>
        <w:t>甜蜜素化学名称为环己基氨基磺酸钠，是一种常用甜味剂，其甜度是蔗糖的30～40倍，为非营养型甜味剂。《食品安全国家标准 食品添加剂使用标准》（GB 2760-2014）中规定，白酒中不得使用甜蜜素(以环己基氨基磺酸计）。长期食用甜蜜素不合格的食品，可能会对代谢排毒能力较弱人群的健康产生一定的影响。</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bookmarkStart w:id="0" w:name="_GoBack"/>
      <w:bookmarkEnd w:id="0"/>
      <w:r>
        <w:rPr>
          <w:rFonts w:hint="eastAsia" w:ascii="方正楷体_GB2312" w:hAnsi="方正楷体_GB2312" w:eastAsia="方正楷体_GB2312" w:cs="方正楷体_GB2312"/>
          <w:b/>
          <w:sz w:val="32"/>
          <w:szCs w:val="32"/>
          <w:lang w:val="en-US" w:eastAsia="zh-CN"/>
        </w:rPr>
        <w:t>（四）还原糖分</w:t>
      </w:r>
    </w:p>
    <w:p>
      <w:pPr>
        <w:pStyle w:val="2"/>
        <w:keepNext/>
        <w:keepLines/>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 w:eastAsia="仿宋_GB2312" w:cs="宋体"/>
          <w:b w:val="0"/>
          <w:color w:val="000000"/>
          <w:kern w:val="0"/>
          <w:sz w:val="32"/>
          <w:szCs w:val="32"/>
          <w:lang w:val="en-US" w:eastAsia="zh-CN" w:bidi="ar-SA"/>
        </w:rPr>
      </w:pPr>
      <w:r>
        <w:rPr>
          <w:rFonts w:hint="eastAsia" w:ascii="仿宋_GB2312" w:hAnsi="仿宋" w:eastAsia="仿宋_GB2312" w:cs="宋体"/>
          <w:b w:val="0"/>
          <w:color w:val="000000"/>
          <w:kern w:val="0"/>
          <w:sz w:val="32"/>
          <w:szCs w:val="32"/>
          <w:lang w:val="en-US" w:eastAsia="zh-CN" w:bidi="ar-SA"/>
        </w:rPr>
        <w:t>还原糖分是食糖的质量指标之一，反映了食糖中还原糖的含量，还原糖含量会影响食糖的</w:t>
      </w:r>
      <w:r>
        <w:rPr>
          <w:rFonts w:hint="eastAsia" w:ascii="仿宋_GB2312" w:hAnsi="仿宋" w:eastAsia="仿宋_GB2312" w:cs="Times New Roman"/>
          <w:b w:val="0"/>
          <w:kern w:val="2"/>
          <w:sz w:val="32"/>
          <w:szCs w:val="32"/>
          <w:lang w:val="en-US" w:eastAsia="zh-CN" w:bidi="ar-SA"/>
        </w:rPr>
        <w:t>口感、外观等。《冰糖》（GB/T 35883-2018）中规定一级冰糖中的还原糖分应≤0.08g/100g。还原糖分高的食糖易吸潮，</w:t>
      </w:r>
      <w:r>
        <w:rPr>
          <w:rFonts w:hint="eastAsia" w:ascii="仿宋_GB2312" w:hAnsi="仿宋" w:eastAsia="仿宋_GB2312" w:cs="宋体"/>
          <w:b w:val="0"/>
          <w:color w:val="000000"/>
          <w:kern w:val="0"/>
          <w:sz w:val="32"/>
          <w:szCs w:val="32"/>
          <w:lang w:val="en-US" w:eastAsia="zh-CN" w:bidi="ar-SA"/>
        </w:rPr>
        <w:t>易滋生微生物，导致食糖变质，不利于保存。</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（五）酒精度</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宋体" w:eastAsia="仿宋_GB2312" w:cs="宋体"/>
          <w:kern w:val="0"/>
          <w:sz w:val="32"/>
          <w:szCs w:val="32"/>
        </w:rPr>
      </w:pPr>
      <w:r>
        <w:rPr>
          <w:rFonts w:hint="eastAsia" w:ascii="仿宋_GB2312" w:hAnsi="仿宋" w:eastAsia="仿宋_GB2312" w:cs="宋体"/>
          <w:b w:val="0"/>
          <w:color w:val="000000"/>
          <w:kern w:val="0"/>
          <w:sz w:val="32"/>
          <w:szCs w:val="32"/>
          <w:lang w:val="zh-CN" w:eastAsia="zh-CN" w:bidi="ar-SA"/>
        </w:rPr>
        <w:t>酒精度又叫酒度，是指在20℃时，100毫升酒中含有乙醇（酒精）的毫升数，即体积（容量）的百分数。</w:t>
      </w:r>
      <w:r>
        <w:rPr>
          <w:rFonts w:hint="eastAsia" w:ascii="仿宋_GB2312" w:hAnsi="仿宋" w:cs="宋体"/>
          <w:b w:val="0"/>
          <w:color w:val="000000"/>
          <w:kern w:val="0"/>
          <w:sz w:val="32"/>
          <w:szCs w:val="32"/>
          <w:lang w:val="en-US" w:eastAsia="zh-CN" w:bidi="ar-SA"/>
        </w:rPr>
        <w:t>企业标准</w:t>
      </w:r>
      <w:r>
        <w:rPr>
          <w:rFonts w:hint="eastAsia" w:ascii="仿宋_GB2312" w:hAnsi="仿宋" w:eastAsia="仿宋_GB2312" w:cs="宋体"/>
          <w:b w:val="0"/>
          <w:color w:val="000000"/>
          <w:kern w:val="0"/>
          <w:sz w:val="32"/>
          <w:szCs w:val="32"/>
          <w:lang w:val="zh-CN" w:eastAsia="zh-CN" w:bidi="ar-SA"/>
        </w:rPr>
        <w:t>《蒸馏酒配制酒》（Q/ YF 0001S-2021）</w:t>
      </w:r>
      <w:r>
        <w:rPr>
          <w:rFonts w:hint="eastAsia" w:ascii="仿宋_GB2312" w:hAnsi="仿宋" w:eastAsia="仿宋_GB2312" w:cs="宋体"/>
          <w:b w:val="0"/>
          <w:color w:val="000000"/>
          <w:kern w:val="0"/>
          <w:sz w:val="32"/>
          <w:szCs w:val="32"/>
          <w:lang w:val="en-US" w:eastAsia="zh-CN" w:bidi="ar-SA"/>
        </w:rPr>
        <w:t>中规定，</w:t>
      </w:r>
      <w:r>
        <w:rPr>
          <w:rFonts w:hint="eastAsia" w:ascii="仿宋_GB2312" w:hAnsi="仿宋" w:eastAsia="仿宋_GB2312" w:cs="宋体"/>
          <w:b w:val="0"/>
          <w:color w:val="000000"/>
          <w:kern w:val="0"/>
          <w:sz w:val="32"/>
          <w:szCs w:val="32"/>
          <w:lang w:val="zh-CN" w:eastAsia="zh-CN" w:bidi="ar-SA"/>
        </w:rPr>
        <w:t>实际</w:t>
      </w:r>
      <w:r>
        <w:rPr>
          <w:rFonts w:hint="eastAsia" w:ascii="仿宋_GB2312" w:hAnsi="宋体" w:eastAsia="仿宋_GB2312" w:cs="宋体"/>
          <w:kern w:val="0"/>
          <w:sz w:val="32"/>
          <w:szCs w:val="32"/>
        </w:rPr>
        <w:t>酒精度应在标示值±1.0%vol的偏差范围内。</w:t>
      </w:r>
      <w:r>
        <w:rPr>
          <w:rFonts w:hint="eastAsia" w:ascii="仿宋_GB2312" w:hAnsi="仿宋" w:eastAsia="仿宋_GB2312" w:cs="宋体"/>
          <w:b w:val="0"/>
          <w:color w:val="000000"/>
          <w:kern w:val="0"/>
          <w:sz w:val="32"/>
          <w:szCs w:val="32"/>
          <w:lang w:val="zh-CN" w:eastAsia="zh-CN" w:bidi="ar-SA"/>
        </w:rPr>
        <w:t>酒精度未达到产品标签明示要求的原因，可能是包装不严密造成酒精挥发；还可能是企业为降低成本，用低度酒冒充高度酒。</w:t>
      </w:r>
      <w:r>
        <w:rPr>
          <w:rFonts w:hint="eastAsia" w:ascii="仿宋_GB2312" w:hAnsi="宋体" w:eastAsia="仿宋_GB2312" w:cs="宋体"/>
          <w:kern w:val="0"/>
          <w:sz w:val="32"/>
          <w:szCs w:val="32"/>
        </w:rPr>
        <w:t>酒中酒精度不达标会影响酒类的品质及口感，此外由于产品实际酒精度与明示指标不符也可能对消费者构成欺骗行为。</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（六）维生素A</w:t>
      </w:r>
    </w:p>
    <w:p>
      <w:pPr>
        <w:widowControl/>
        <w:jc w:val="left"/>
        <w:rPr>
          <w:rFonts w:ascii="仿宋_GB2312" w:hAnsi="仿宋" w:eastAsia="仿宋_GB2312" w:cs="宋体"/>
          <w:kern w:val="0"/>
          <w:sz w:val="32"/>
          <w:szCs w:val="32"/>
          <w:lang w:val="zh-CN"/>
        </w:rPr>
      </w:pPr>
      <w:r>
        <w:rPr>
          <w:rFonts w:hint="eastAsia" w:ascii="仿宋_GB2312" w:hAnsi="宋体" w:eastAsia="仿宋_GB2312" w:cs="宋体"/>
          <w:kern w:val="0"/>
          <w:sz w:val="32"/>
          <w:szCs w:val="32"/>
        </w:rPr>
        <w:t>维生素A又称维生素甲、视黄醇等，为脂溶性维生素品种，有助于维持暗视力和皮肤</w:t>
      </w:r>
      <w:r>
        <w:rPr>
          <w:rFonts w:hint="eastAsia" w:ascii="仿宋_GB2312" w:hAnsi="宋体" w:cs="宋体"/>
          <w:color w:val="0000FF"/>
          <w:kern w:val="0"/>
          <w:sz w:val="32"/>
          <w:szCs w:val="32"/>
          <w:lang w:eastAsia="zh-CN"/>
        </w:rPr>
        <w:t>、</w:t>
      </w:r>
      <w:r>
        <w:rPr>
          <w:rFonts w:hint="eastAsia" w:ascii="仿宋_GB2312" w:hAnsi="宋体" w:eastAsia="仿宋_GB2312" w:cs="宋体"/>
          <w:kern w:val="0"/>
          <w:sz w:val="32"/>
          <w:szCs w:val="32"/>
        </w:rPr>
        <w:t>粘膜健康，可提高机体免疫功能、促进生长和骨骼发育，是婴幼儿谷类辅助食品的基本营养成分。《食品安全国家标准  婴幼儿谷类辅助食品》（GB 10769-2010）中规定，婴幼儿谷类辅助食品中维生素A</w:t>
      </w:r>
      <w:r>
        <w:rPr>
          <w:rFonts w:hint="eastAsia" w:ascii="仿宋_GB2312" w:hAnsi="宋体" w:cs="宋体"/>
          <w:kern w:val="0"/>
          <w:sz w:val="32"/>
          <w:szCs w:val="32"/>
          <w:lang w:val="en-US" w:eastAsia="zh-CN"/>
        </w:rPr>
        <w:t>应在14～43（</w:t>
      </w:r>
      <w:r>
        <w:rPr>
          <w:rFonts w:hint="eastAsia" w:ascii="仿宋_GB2312" w:hAnsi="宋体" w:eastAsia="仿宋_GB2312" w:cs="宋体"/>
          <w:kern w:val="0"/>
          <w:sz w:val="32"/>
          <w:szCs w:val="32"/>
        </w:rPr>
        <w:t>μgRE/100kJ</w:t>
      </w:r>
      <w:r>
        <w:rPr>
          <w:rFonts w:hint="eastAsia" w:ascii="仿宋_GB2312" w:hAnsi="宋体" w:cs="宋体"/>
          <w:kern w:val="0"/>
          <w:sz w:val="32"/>
          <w:szCs w:val="32"/>
          <w:lang w:val="en-US" w:eastAsia="zh-CN"/>
        </w:rPr>
        <w:t>）范围内</w:t>
      </w:r>
      <w:r>
        <w:rPr>
          <w:rFonts w:hint="eastAsia" w:ascii="仿宋_GB2312" w:hAnsi="宋体" w:eastAsia="仿宋_GB2312" w:cs="宋体"/>
          <w:kern w:val="0"/>
          <w:sz w:val="32"/>
          <w:szCs w:val="32"/>
        </w:rPr>
        <w:t>，并且《食品安全国家标准 预包装特殊膳食用食品标签》（GB 13432-2013）中规定，营养成分的实际含量不应低于标示值的80%，并应符合相应产品标准的要求。</w:t>
      </w:r>
      <w:r>
        <w:rPr>
          <w:rFonts w:ascii="仿宋_GB2312" w:hAnsi="仿宋" w:eastAsia="仿宋_GB2312" w:cs="宋体"/>
          <w:kern w:val="0"/>
          <w:sz w:val="32"/>
          <w:szCs w:val="32"/>
          <w:lang w:val="zh-CN"/>
        </w:rPr>
        <w:t>维生素A含量不达标原因，可能是由于受生产工艺条件的限制，在生产加工过程中损耗了大量的营养物质；企业未按标签明示值或企业标准的要求进行添加等。</w:t>
      </w:r>
    </w:p>
    <w:p>
      <w:pPr>
        <w:widowControl/>
        <w:shd w:val="clear" w:color="auto" w:fill="FEFEFE"/>
        <w:spacing w:line="560" w:lineRule="exact"/>
        <w:ind w:firstLine="494" w:firstLineChars="154"/>
        <w:rPr>
          <w:rFonts w:ascii="楷体_GB2312" w:hAnsi="微软雅黑" w:eastAsia="楷体_GB2312" w:cs="宋体"/>
          <w:b/>
          <w:color w:val="000000" w:themeColor="text1"/>
          <w:spacing w:val="23"/>
          <w:kern w:val="0"/>
          <w:sz w:val="32"/>
          <w:szCs w:val="32"/>
          <w14:textFill>
            <w14:solidFill>
              <w14:schemeClr w14:val="tx1"/>
            </w14:solidFill>
          </w14:textFill>
        </w:rPr>
      </w:pPr>
      <w:r>
        <w:rPr>
          <w:rFonts w:hint="eastAsia" w:ascii="方正楷体_GB2312" w:hAnsi="方正楷体_GB2312" w:eastAsia="方正楷体_GB2312" w:cs="方正楷体_GB2312"/>
          <w:b/>
          <w:sz w:val="32"/>
          <w:szCs w:val="32"/>
          <w:lang w:val="en-US" w:eastAsia="zh-CN"/>
        </w:rPr>
        <w:t>（七）阿维菌素</w:t>
      </w:r>
    </w:p>
    <w:p>
      <w:pPr>
        <w:keepNext w:val="0"/>
        <w:keepLines w:val="0"/>
        <w:pageBreakBefore w:val="0"/>
        <w:widowControl/>
        <w:shd w:val="clear" w:color="auto" w:fill="FEFEFE"/>
        <w:kinsoku/>
        <w:wordWrap/>
        <w:overflowPunct/>
        <w:topLinePunct w:val="0"/>
        <w:autoSpaceDE/>
        <w:autoSpaceDN/>
        <w:bidi w:val="0"/>
        <w:adjustRightInd/>
        <w:snapToGrid/>
        <w:spacing w:line="560" w:lineRule="exact"/>
        <w:ind w:firstLine="645"/>
        <w:textAlignment w:val="auto"/>
        <w:rPr>
          <w:rFonts w:ascii="仿宋_GB2312" w:hAnsi="仿宋" w:eastAsia="仿宋_GB2312" w:cs="宋体"/>
          <w:kern w:val="0"/>
          <w:sz w:val="32"/>
          <w:szCs w:val="32"/>
          <w:lang w:val="zh-CN"/>
        </w:rPr>
      </w:pPr>
      <w:r>
        <w:rPr>
          <w:rFonts w:hint="eastAsia" w:ascii="仿宋_GB2312" w:hAnsi="仿宋" w:eastAsia="仿宋_GB2312" w:cs="宋体"/>
          <w:kern w:val="0"/>
          <w:sz w:val="32"/>
          <w:szCs w:val="32"/>
          <w:lang w:val="zh-CN"/>
        </w:rPr>
        <w:t>阿维菌素是一种抗生素类杀虫、杀螨、杀线虫剂，具有广谱、高效、低残留等特点。《食品安全国家标准 食品中农药最大残留限量》（GB 2763-20</w:t>
      </w:r>
      <w:r>
        <w:rPr>
          <w:rFonts w:hint="eastAsia" w:ascii="仿宋_GB2312" w:hAnsi="仿宋" w:eastAsia="仿宋_GB2312" w:cs="宋体"/>
          <w:kern w:val="0"/>
          <w:sz w:val="32"/>
          <w:szCs w:val="32"/>
          <w:lang w:val="en-US" w:eastAsia="zh-CN"/>
        </w:rPr>
        <w:t>21</w:t>
      </w:r>
      <w:r>
        <w:rPr>
          <w:rFonts w:hint="eastAsia" w:ascii="仿宋_GB2312" w:hAnsi="仿宋" w:eastAsia="仿宋_GB2312" w:cs="宋体"/>
          <w:kern w:val="0"/>
          <w:sz w:val="32"/>
          <w:szCs w:val="32"/>
          <w:lang w:val="zh-CN"/>
        </w:rPr>
        <w:t>）中规定，阿维菌素在</w:t>
      </w:r>
      <w:r>
        <w:rPr>
          <w:rFonts w:hint="eastAsia" w:ascii="仿宋_GB2312" w:hAnsi="仿宋" w:cs="宋体"/>
          <w:kern w:val="0"/>
          <w:sz w:val="32"/>
          <w:szCs w:val="32"/>
          <w:lang w:val="en-US" w:eastAsia="zh-CN"/>
        </w:rPr>
        <w:t>茼蒿</w:t>
      </w:r>
      <w:r>
        <w:rPr>
          <w:rFonts w:hint="eastAsia" w:ascii="仿宋_GB2312" w:hAnsi="仿宋" w:eastAsia="仿宋_GB2312" w:cs="宋体"/>
          <w:kern w:val="0"/>
          <w:sz w:val="32"/>
          <w:szCs w:val="32"/>
          <w:lang w:val="zh-CN"/>
        </w:rPr>
        <w:t>中的残留限量</w:t>
      </w:r>
      <w:r>
        <w:rPr>
          <w:rFonts w:hint="eastAsia" w:ascii="仿宋_GB2312" w:hAnsi="仿宋" w:cs="宋体"/>
          <w:kern w:val="0"/>
          <w:sz w:val="32"/>
          <w:szCs w:val="32"/>
          <w:lang w:val="en-US" w:eastAsia="zh-CN"/>
        </w:rPr>
        <w:t>值</w:t>
      </w:r>
      <w:r>
        <w:rPr>
          <w:rFonts w:hint="eastAsia" w:ascii="仿宋_GB2312" w:hAnsi="仿宋" w:eastAsia="仿宋_GB2312" w:cs="宋体"/>
          <w:kern w:val="0"/>
          <w:sz w:val="32"/>
          <w:szCs w:val="32"/>
          <w:lang w:val="zh-CN" w:eastAsia="zh-CN" w:bidi="ar-SA"/>
        </w:rPr>
        <w:t>应≤</w:t>
      </w:r>
      <w:r>
        <w:rPr>
          <w:rFonts w:hint="eastAsia" w:ascii="仿宋_GB2312" w:hAnsi="仿宋" w:eastAsia="仿宋_GB2312" w:cs="宋体"/>
          <w:kern w:val="0"/>
          <w:sz w:val="32"/>
          <w:szCs w:val="32"/>
          <w:lang w:val="zh-CN"/>
        </w:rPr>
        <w:t>0.05mg/kg。少量的农药残留不会引起人体急性中毒，但长期食用农药残留超标的食品，对人体健康有一定影响。</w:t>
      </w:r>
    </w:p>
    <w:p>
      <w:pPr>
        <w:pStyle w:val="9"/>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0" w:beforeAutospacing="0" w:after="0" w:afterAutospacing="0" w:line="560" w:lineRule="exact"/>
        <w:ind w:left="-3" w:leftChars="0" w:firstLine="643" w:firstLineChars="0"/>
        <w:jc w:val="both"/>
        <w:textAlignment w:val="auto"/>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倍硫磷</w:t>
      </w:r>
    </w:p>
    <w:p>
      <w:pPr>
        <w:keepNext w:val="0"/>
        <w:keepLines w:val="0"/>
        <w:pageBreakBefore w:val="0"/>
        <w:widowControl/>
        <w:shd w:val="clear" w:color="auto" w:fill="FEFEFE"/>
        <w:kinsoku/>
        <w:wordWrap/>
        <w:overflowPunct/>
        <w:topLinePunct w:val="0"/>
        <w:autoSpaceDE/>
        <w:autoSpaceDN/>
        <w:bidi w:val="0"/>
        <w:adjustRightInd/>
        <w:snapToGrid/>
        <w:spacing w:line="560" w:lineRule="exact"/>
        <w:ind w:firstLine="645"/>
        <w:textAlignment w:val="auto"/>
        <w:rPr>
          <w:rFonts w:hint="eastAsia" w:ascii="仿宋_GB2312" w:hAnsi="仿宋" w:eastAsia="仿宋_GB2312" w:cs="宋体"/>
          <w:kern w:val="0"/>
          <w:sz w:val="32"/>
          <w:szCs w:val="32"/>
          <w:lang w:val="zh-CN"/>
        </w:rPr>
      </w:pPr>
      <w:r>
        <w:rPr>
          <w:rFonts w:hint="eastAsia" w:ascii="仿宋_GB2312" w:hAnsi="仿宋" w:eastAsia="仿宋_GB2312" w:cs="宋体"/>
          <w:kern w:val="0"/>
          <w:sz w:val="32"/>
          <w:szCs w:val="32"/>
          <w:lang w:val="en-US" w:eastAsia="zh-CN"/>
        </w:rPr>
        <w:t>倍硫磷具有触杀、胃毒和熏蒸作用的有机磷农药。</w:t>
      </w:r>
      <w:r>
        <w:rPr>
          <w:rFonts w:hint="eastAsia" w:ascii="仿宋_GB2312" w:hAnsi="仿宋" w:eastAsia="仿宋_GB2312" w:cs="宋体"/>
          <w:kern w:val="0"/>
          <w:sz w:val="32"/>
          <w:szCs w:val="32"/>
          <w:lang w:val="zh-CN"/>
        </w:rPr>
        <w:t>《食品安全国家标准 食品中农药最大残留限量》（GB 2763-20</w:t>
      </w:r>
      <w:r>
        <w:rPr>
          <w:rFonts w:hint="eastAsia" w:ascii="仿宋_GB2312" w:hAnsi="仿宋" w:eastAsia="仿宋_GB2312" w:cs="宋体"/>
          <w:kern w:val="0"/>
          <w:sz w:val="32"/>
          <w:szCs w:val="32"/>
          <w:lang w:val="en-US" w:eastAsia="zh-CN"/>
        </w:rPr>
        <w:t>21</w:t>
      </w:r>
      <w:r>
        <w:rPr>
          <w:rFonts w:hint="eastAsia" w:ascii="仿宋_GB2312" w:hAnsi="仿宋" w:eastAsia="仿宋_GB2312" w:cs="宋体"/>
          <w:kern w:val="0"/>
          <w:sz w:val="32"/>
          <w:szCs w:val="32"/>
          <w:lang w:val="zh-CN"/>
        </w:rPr>
        <w:t>）中规定，</w:t>
      </w:r>
      <w:r>
        <w:rPr>
          <w:rFonts w:hint="eastAsia" w:ascii="仿宋_GB2312" w:hAnsi="仿宋" w:cs="宋体"/>
          <w:kern w:val="0"/>
          <w:sz w:val="32"/>
          <w:szCs w:val="32"/>
          <w:lang w:val="en-US" w:eastAsia="zh-CN"/>
        </w:rPr>
        <w:t>倍硫磷</w:t>
      </w:r>
      <w:r>
        <w:rPr>
          <w:rFonts w:hint="eastAsia" w:ascii="仿宋_GB2312" w:hAnsi="仿宋" w:eastAsia="仿宋_GB2312" w:cs="宋体"/>
          <w:kern w:val="0"/>
          <w:sz w:val="32"/>
          <w:szCs w:val="32"/>
          <w:lang w:val="zh-CN"/>
        </w:rPr>
        <w:t>在</w:t>
      </w:r>
      <w:r>
        <w:rPr>
          <w:rFonts w:hint="eastAsia" w:ascii="仿宋_GB2312" w:hAnsi="仿宋" w:cs="宋体"/>
          <w:kern w:val="0"/>
          <w:sz w:val="32"/>
          <w:szCs w:val="32"/>
          <w:lang w:val="en-US" w:eastAsia="zh-CN"/>
        </w:rPr>
        <w:t>豆类蔬菜</w:t>
      </w:r>
      <w:r>
        <w:rPr>
          <w:rFonts w:hint="eastAsia" w:ascii="仿宋_GB2312" w:hAnsi="仿宋" w:eastAsia="仿宋_GB2312" w:cs="宋体"/>
          <w:kern w:val="0"/>
          <w:sz w:val="32"/>
          <w:szCs w:val="32"/>
          <w:lang w:val="zh-CN"/>
        </w:rPr>
        <w:t>中的残留限量</w:t>
      </w:r>
      <w:r>
        <w:rPr>
          <w:rFonts w:hint="eastAsia" w:ascii="仿宋_GB2312" w:hAnsi="仿宋" w:cs="宋体"/>
          <w:kern w:val="0"/>
          <w:sz w:val="32"/>
          <w:szCs w:val="32"/>
          <w:lang w:val="en-US" w:eastAsia="zh-CN"/>
        </w:rPr>
        <w:t>值</w:t>
      </w:r>
      <w:r>
        <w:rPr>
          <w:rFonts w:hint="eastAsia" w:ascii="仿宋_GB2312" w:hAnsi="仿宋" w:eastAsia="仿宋_GB2312" w:cs="宋体"/>
          <w:kern w:val="0"/>
          <w:sz w:val="32"/>
          <w:szCs w:val="32"/>
          <w:lang w:val="zh-CN" w:eastAsia="zh-CN" w:bidi="ar-SA"/>
        </w:rPr>
        <w:t>应≤</w:t>
      </w:r>
      <w:r>
        <w:rPr>
          <w:rFonts w:hint="eastAsia" w:ascii="仿宋_GB2312" w:hAnsi="仿宋" w:eastAsia="仿宋_GB2312" w:cs="宋体"/>
          <w:kern w:val="0"/>
          <w:sz w:val="32"/>
          <w:szCs w:val="32"/>
          <w:lang w:val="zh-CN"/>
        </w:rPr>
        <w:t>0.05mg/kg。</w:t>
      </w:r>
      <w:r>
        <w:rPr>
          <w:rFonts w:hint="eastAsia" w:ascii="仿宋_GB2312" w:hAnsi="仿宋" w:eastAsia="仿宋_GB2312" w:cs="宋体"/>
          <w:kern w:val="0"/>
          <w:sz w:val="32"/>
          <w:szCs w:val="32"/>
          <w:lang w:val="en-US" w:eastAsia="zh-CN"/>
        </w:rPr>
        <w:t xml:space="preserve">食用食品一般不会导致倍硫磷的急性中毒，但长期食用倍硫磷超标的食品，对人体健康有一定影响。 </w:t>
      </w:r>
    </w:p>
    <w:p>
      <w:pPr>
        <w:pStyle w:val="9"/>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0" w:beforeAutospacing="0" w:after="0" w:afterAutospacing="0" w:line="560" w:lineRule="exact"/>
        <w:ind w:left="-3" w:leftChars="0" w:firstLine="643" w:firstLineChars="0"/>
        <w:jc w:val="both"/>
        <w:textAlignment w:val="auto"/>
        <w:rPr>
          <w:rFonts w:hint="default"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吡虫啉</w:t>
      </w:r>
    </w:p>
    <w:p>
      <w:pPr>
        <w:keepNext w:val="0"/>
        <w:keepLines w:val="0"/>
        <w:pageBreakBefore w:val="0"/>
        <w:widowControl/>
        <w:shd w:val="clear" w:color="auto" w:fill="FEFEFE"/>
        <w:kinsoku/>
        <w:wordWrap/>
        <w:overflowPunct/>
        <w:topLinePunct w:val="0"/>
        <w:autoSpaceDE/>
        <w:autoSpaceDN/>
        <w:bidi w:val="0"/>
        <w:adjustRightInd/>
        <w:snapToGrid/>
        <w:spacing w:line="560" w:lineRule="exact"/>
        <w:ind w:firstLine="645"/>
        <w:textAlignment w:val="auto"/>
        <w:rPr>
          <w:rFonts w:hint="eastAsia" w:ascii="仿宋_GB2312" w:hAnsi="仿宋" w:eastAsia="仿宋_GB2312" w:cs="宋体"/>
          <w:kern w:val="0"/>
          <w:sz w:val="32"/>
          <w:szCs w:val="32"/>
          <w:lang w:val="en-US" w:eastAsia="zh-CN"/>
        </w:rPr>
      </w:pPr>
      <w:r>
        <w:rPr>
          <w:rFonts w:hint="eastAsia" w:ascii="仿宋_GB2312" w:hAnsi="仿宋" w:eastAsia="仿宋_GB2312" w:cs="宋体"/>
          <w:kern w:val="0"/>
          <w:sz w:val="32"/>
          <w:szCs w:val="32"/>
          <w:lang w:val="en-US" w:eastAsia="zh-CN"/>
        </w:rPr>
        <w:t>吡虫啉</w:t>
      </w:r>
      <w:r>
        <w:rPr>
          <w:rFonts w:hint="eastAsia" w:ascii="仿宋_GB2312" w:hAnsi="仿宋" w:cs="宋体"/>
          <w:kern w:val="0"/>
          <w:sz w:val="32"/>
          <w:szCs w:val="32"/>
          <w:lang w:val="en-US" w:eastAsia="zh-CN"/>
        </w:rPr>
        <w:t>是一种</w:t>
      </w:r>
      <w:r>
        <w:rPr>
          <w:rFonts w:hint="eastAsia" w:ascii="仿宋_GB2312" w:hAnsi="仿宋" w:eastAsia="仿宋_GB2312" w:cs="宋体"/>
          <w:kern w:val="0"/>
          <w:sz w:val="32"/>
          <w:szCs w:val="32"/>
          <w:lang w:val="en-US" w:eastAsia="zh-CN"/>
        </w:rPr>
        <w:t>内吸性杀虫剂，可层间传导，具有触杀和胃毒作用。</w:t>
      </w:r>
      <w:r>
        <w:rPr>
          <w:rFonts w:hint="eastAsia" w:ascii="仿宋_GB2312" w:hAnsi="仿宋" w:eastAsia="仿宋_GB2312" w:cs="宋体"/>
          <w:kern w:val="0"/>
          <w:sz w:val="32"/>
          <w:szCs w:val="32"/>
          <w:lang w:val="zh-CN"/>
        </w:rPr>
        <w:t>《食品安全国家标准 食品中农药最大残留限量》（GB 2763-20</w:t>
      </w:r>
      <w:r>
        <w:rPr>
          <w:rFonts w:hint="eastAsia" w:ascii="仿宋_GB2312" w:hAnsi="仿宋" w:eastAsia="仿宋_GB2312" w:cs="宋体"/>
          <w:kern w:val="0"/>
          <w:sz w:val="32"/>
          <w:szCs w:val="32"/>
          <w:lang w:val="en-US" w:eastAsia="zh-CN"/>
        </w:rPr>
        <w:t>21</w:t>
      </w:r>
      <w:r>
        <w:rPr>
          <w:rFonts w:hint="eastAsia" w:ascii="仿宋_GB2312" w:hAnsi="仿宋" w:eastAsia="仿宋_GB2312" w:cs="宋体"/>
          <w:kern w:val="0"/>
          <w:sz w:val="32"/>
          <w:szCs w:val="32"/>
          <w:lang w:val="zh-CN"/>
        </w:rPr>
        <w:t>）中规定，</w:t>
      </w:r>
      <w:r>
        <w:rPr>
          <w:rFonts w:hint="eastAsia" w:ascii="仿宋_GB2312" w:hAnsi="仿宋" w:cs="宋体"/>
          <w:kern w:val="0"/>
          <w:sz w:val="32"/>
          <w:szCs w:val="32"/>
          <w:lang w:val="en-US" w:eastAsia="zh-CN"/>
        </w:rPr>
        <w:t>吡虫啉</w:t>
      </w:r>
      <w:r>
        <w:rPr>
          <w:rFonts w:hint="eastAsia" w:ascii="仿宋_GB2312" w:hAnsi="仿宋" w:eastAsia="仿宋_GB2312" w:cs="宋体"/>
          <w:kern w:val="0"/>
          <w:sz w:val="32"/>
          <w:szCs w:val="32"/>
          <w:lang w:val="zh-CN"/>
        </w:rPr>
        <w:t>在</w:t>
      </w:r>
      <w:r>
        <w:rPr>
          <w:rFonts w:hint="eastAsia" w:ascii="仿宋_GB2312" w:hAnsi="仿宋" w:cs="宋体"/>
          <w:kern w:val="0"/>
          <w:sz w:val="32"/>
          <w:szCs w:val="32"/>
          <w:lang w:val="en-US" w:eastAsia="zh-CN"/>
        </w:rPr>
        <w:t>香蕉</w:t>
      </w:r>
      <w:r>
        <w:rPr>
          <w:rFonts w:hint="eastAsia" w:ascii="仿宋_GB2312" w:hAnsi="仿宋" w:eastAsia="仿宋_GB2312" w:cs="宋体"/>
          <w:kern w:val="0"/>
          <w:sz w:val="32"/>
          <w:szCs w:val="32"/>
          <w:lang w:val="zh-CN"/>
        </w:rPr>
        <w:t>中的残留限量</w:t>
      </w:r>
      <w:r>
        <w:rPr>
          <w:rFonts w:hint="eastAsia" w:ascii="仿宋_GB2312" w:hAnsi="仿宋" w:cs="宋体"/>
          <w:kern w:val="0"/>
          <w:sz w:val="32"/>
          <w:szCs w:val="32"/>
          <w:lang w:val="en-US" w:eastAsia="zh-CN"/>
        </w:rPr>
        <w:t>值</w:t>
      </w:r>
      <w:r>
        <w:rPr>
          <w:rFonts w:hint="eastAsia" w:ascii="仿宋_GB2312" w:hAnsi="仿宋" w:eastAsia="仿宋_GB2312" w:cs="宋体"/>
          <w:kern w:val="0"/>
          <w:sz w:val="32"/>
          <w:szCs w:val="32"/>
          <w:lang w:val="zh-CN" w:eastAsia="zh-CN" w:bidi="ar-SA"/>
        </w:rPr>
        <w:t>应≤</w:t>
      </w:r>
      <w:r>
        <w:rPr>
          <w:rFonts w:hint="eastAsia" w:ascii="仿宋_GB2312" w:hAnsi="仿宋" w:eastAsia="仿宋_GB2312" w:cs="宋体"/>
          <w:kern w:val="0"/>
          <w:sz w:val="32"/>
          <w:szCs w:val="32"/>
          <w:lang w:val="zh-CN"/>
        </w:rPr>
        <w:t>0.05mg/kg。</w:t>
      </w:r>
      <w:r>
        <w:rPr>
          <w:rFonts w:hint="eastAsia" w:ascii="仿宋_GB2312" w:hAnsi="仿宋" w:cs="宋体"/>
          <w:kern w:val="0"/>
          <w:sz w:val="32"/>
          <w:szCs w:val="32"/>
          <w:lang w:val="en-US" w:eastAsia="zh-CN"/>
        </w:rPr>
        <w:t>食用吡虫啉超标的食品可能会导致</w:t>
      </w:r>
      <w:r>
        <w:rPr>
          <w:rFonts w:hint="eastAsia" w:ascii="仿宋_GB2312" w:hAnsi="仿宋" w:eastAsia="仿宋_GB2312" w:cs="宋体"/>
          <w:kern w:val="0"/>
          <w:sz w:val="32"/>
          <w:szCs w:val="32"/>
          <w:lang w:val="en-US" w:eastAsia="zh-CN"/>
        </w:rPr>
        <w:t>恶心、呕吐、头痛、乏力乏力、心跳过速等</w:t>
      </w:r>
      <w:r>
        <w:rPr>
          <w:rFonts w:hint="eastAsia" w:ascii="仿宋_GB2312" w:hAnsi="仿宋" w:cs="宋体"/>
          <w:kern w:val="0"/>
          <w:sz w:val="32"/>
          <w:szCs w:val="32"/>
          <w:lang w:val="en-US" w:eastAsia="zh-CN"/>
        </w:rPr>
        <w:t>症状</w:t>
      </w:r>
    </w:p>
    <w:p>
      <w:pPr>
        <w:pStyle w:val="9"/>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0" w:beforeAutospacing="0" w:after="0" w:afterAutospacing="0" w:line="560" w:lineRule="exact"/>
        <w:ind w:left="-3" w:leftChars="0" w:firstLine="643" w:firstLineChars="0"/>
        <w:jc w:val="both"/>
        <w:textAlignment w:val="auto"/>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毒死蜱</w:t>
      </w:r>
    </w:p>
    <w:p>
      <w:pPr>
        <w:keepNext w:val="0"/>
        <w:keepLines w:val="0"/>
        <w:pageBreakBefore w:val="0"/>
        <w:widowControl/>
        <w:shd w:val="clear" w:color="auto" w:fill="FEFEFE"/>
        <w:kinsoku/>
        <w:wordWrap/>
        <w:overflowPunct/>
        <w:topLinePunct w:val="0"/>
        <w:autoSpaceDE/>
        <w:autoSpaceDN/>
        <w:bidi w:val="0"/>
        <w:adjustRightInd/>
        <w:snapToGrid/>
        <w:spacing w:line="560" w:lineRule="exact"/>
        <w:ind w:firstLine="645"/>
        <w:textAlignment w:val="auto"/>
        <w:rPr>
          <w:rFonts w:hint="eastAsia" w:ascii="仿宋_GB2312" w:hAnsi="仿宋" w:eastAsia="仿宋_GB2312" w:cs="宋体"/>
          <w:kern w:val="0"/>
          <w:sz w:val="32"/>
          <w:szCs w:val="32"/>
          <w:lang w:val="en-US" w:eastAsia="zh-CN"/>
        </w:rPr>
      </w:pPr>
      <w:r>
        <w:rPr>
          <w:rFonts w:hint="eastAsia" w:ascii="仿宋_GB2312" w:hAnsi="仿宋" w:eastAsia="仿宋_GB2312" w:cs="宋体"/>
          <w:kern w:val="0"/>
          <w:sz w:val="32"/>
          <w:szCs w:val="32"/>
          <w:lang w:val="zh-CN"/>
        </w:rPr>
        <w:t>毒死蜱是一种具有触杀、胃毒和熏蒸作用的有机磷杀虫剂。《食品安全国家标准 食品中农药最大残留限量》（GB 2763-20</w:t>
      </w:r>
      <w:r>
        <w:rPr>
          <w:rFonts w:hint="eastAsia" w:ascii="仿宋_GB2312" w:hAnsi="仿宋" w:eastAsia="仿宋_GB2312" w:cs="宋体"/>
          <w:kern w:val="0"/>
          <w:sz w:val="32"/>
          <w:szCs w:val="32"/>
          <w:lang w:val="en-US" w:eastAsia="zh-CN"/>
        </w:rPr>
        <w:t>21</w:t>
      </w:r>
      <w:r>
        <w:rPr>
          <w:rFonts w:hint="eastAsia" w:ascii="仿宋_GB2312" w:hAnsi="仿宋" w:eastAsia="仿宋_GB2312" w:cs="宋体"/>
          <w:kern w:val="0"/>
          <w:sz w:val="32"/>
          <w:szCs w:val="32"/>
          <w:lang w:val="zh-CN"/>
        </w:rPr>
        <w:t>）中规定，</w:t>
      </w:r>
      <w:r>
        <w:rPr>
          <w:rFonts w:hint="eastAsia" w:ascii="仿宋_GB2312" w:hAnsi="仿宋" w:eastAsia="仿宋_GB2312" w:cs="宋体"/>
          <w:kern w:val="0"/>
          <w:sz w:val="32"/>
          <w:szCs w:val="32"/>
          <w:lang w:val="zh-CN" w:eastAsia="zh-CN"/>
        </w:rPr>
        <w:t>叶菜类蔬菜（芹菜除外）</w:t>
      </w:r>
      <w:r>
        <w:rPr>
          <w:rFonts w:hint="eastAsia" w:ascii="仿宋_GB2312" w:hAnsi="仿宋" w:eastAsia="仿宋_GB2312" w:cs="宋体"/>
          <w:kern w:val="0"/>
          <w:sz w:val="32"/>
          <w:szCs w:val="32"/>
          <w:lang w:val="zh-CN"/>
        </w:rPr>
        <w:t>的毒死蜱残留限量值</w:t>
      </w:r>
      <w:r>
        <w:rPr>
          <w:rFonts w:hint="eastAsia" w:ascii="仿宋_GB2312" w:hAnsi="仿宋" w:cs="宋体"/>
          <w:kern w:val="0"/>
          <w:sz w:val="32"/>
          <w:szCs w:val="32"/>
          <w:lang w:val="en-US" w:eastAsia="zh-CN"/>
        </w:rPr>
        <w:t>应</w:t>
      </w:r>
      <w:r>
        <w:rPr>
          <w:rFonts w:hint="eastAsia" w:ascii="仿宋_GB2312" w:hAnsi="仿宋" w:eastAsia="仿宋_GB2312" w:cs="宋体"/>
          <w:kern w:val="0"/>
          <w:sz w:val="32"/>
          <w:szCs w:val="32"/>
          <w:lang w:val="zh-CN"/>
        </w:rPr>
        <w:t>≤0.</w:t>
      </w:r>
      <w:r>
        <w:rPr>
          <w:rFonts w:hint="eastAsia" w:ascii="仿宋_GB2312" w:hAnsi="仿宋" w:eastAsia="仿宋_GB2312" w:cs="宋体"/>
          <w:kern w:val="0"/>
          <w:sz w:val="32"/>
          <w:szCs w:val="32"/>
          <w:lang w:val="en-US" w:eastAsia="zh-CN"/>
        </w:rPr>
        <w:t>02</w:t>
      </w:r>
      <w:r>
        <w:rPr>
          <w:rFonts w:hint="eastAsia" w:ascii="仿宋_GB2312" w:hAnsi="仿宋" w:eastAsia="仿宋_GB2312" w:cs="宋体"/>
          <w:kern w:val="0"/>
          <w:sz w:val="32"/>
          <w:szCs w:val="32"/>
          <w:lang w:val="zh-CN"/>
        </w:rPr>
        <w:t>mg/kg。毒死蜱属中毒农药，在叶片上残留期一般为5至7天，在土壤中残留期较长，对鱼类及水生生物毒性较高，对蜜蜂有毒。长期暴露在含有毒死蜱的环境中，可能会导致神经毒性、生殖毒性，并会影响胚胎的生长发育。</w:t>
      </w:r>
    </w:p>
    <w:p>
      <w:pPr>
        <w:pStyle w:val="9"/>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0" w:beforeAutospacing="0" w:after="0" w:afterAutospacing="0" w:line="560" w:lineRule="exact"/>
        <w:ind w:left="-3" w:leftChars="0" w:firstLine="643" w:firstLineChars="0"/>
        <w:jc w:val="both"/>
        <w:textAlignment w:val="auto"/>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恩诺沙星</w:t>
      </w:r>
    </w:p>
    <w:p>
      <w:pPr>
        <w:pStyle w:val="9"/>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s="宋体"/>
          <w:kern w:val="0"/>
          <w:sz w:val="32"/>
          <w:szCs w:val="32"/>
          <w:lang w:val="zh-CN" w:eastAsia="zh-CN" w:bidi="ar-SA"/>
        </w:rPr>
      </w:pPr>
      <w:r>
        <w:rPr>
          <w:rFonts w:hint="eastAsia" w:ascii="仿宋_GB2312" w:hAnsi="仿宋" w:eastAsia="仿宋_GB2312" w:cs="宋体"/>
          <w:kern w:val="0"/>
          <w:sz w:val="32"/>
          <w:szCs w:val="32"/>
          <w:lang w:val="zh-CN" w:eastAsia="zh-CN" w:bidi="ar-SA"/>
        </w:rPr>
        <w:t>恩诺沙星为广谱杀菌药，对支原体有特效，对大肠杆菌、克雷白杆菌、沙门氏菌、变形杆菌、绿脓杆菌、嗜血杆菌、多杀性巴氏杆菌、溶血性巴氏杆菌、金葡菌、链球菌等都有杀菌效果。《食品安全国家标准 食品中兽药最大残留限量》（GB 31650-2019）中均规定，恩诺沙星可用于猪、牛、羊、兔、鱼等食用畜禽、水产动物，其中水产品中恩诺沙星(以恩诺沙星与环丙沙星之和计)应≤100μg/kg。老年人、儿童及低免疫力人群摄入较多恩诺沙星不合格的产品，可引起轻度胃肠道不适、头痛、头晕等症状，并产生耐药性。</w:t>
      </w:r>
    </w:p>
    <w:p>
      <w:pPr>
        <w:pStyle w:val="9"/>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0" w:beforeAutospacing="0" w:after="0" w:afterAutospacing="0" w:line="560" w:lineRule="exact"/>
        <w:ind w:left="-3" w:leftChars="0" w:firstLine="643" w:firstLineChars="0"/>
        <w:jc w:val="both"/>
        <w:textAlignment w:val="auto"/>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甲硝唑</w:t>
      </w:r>
    </w:p>
    <w:p>
      <w:pPr>
        <w:pStyle w:val="9"/>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s="宋体"/>
          <w:kern w:val="0"/>
          <w:sz w:val="32"/>
          <w:szCs w:val="32"/>
          <w:lang w:val="zh-CN" w:eastAsia="zh-CN" w:bidi="ar-SA"/>
        </w:rPr>
      </w:pPr>
      <w:r>
        <w:rPr>
          <w:rFonts w:hint="eastAsia" w:ascii="仿宋_GB2312" w:hAnsi="仿宋" w:eastAsia="仿宋_GB2312" w:cs="宋体"/>
          <w:kern w:val="0"/>
          <w:sz w:val="32"/>
          <w:szCs w:val="32"/>
          <w:lang w:val="zh-CN" w:eastAsia="zh-CN" w:bidi="ar-SA"/>
        </w:rPr>
        <w:t>甲硝唑是一种抗生素和抗原虫剂，有强大的杀灭滴虫的作用，对厌氧微生物有杀灭作用，广泛地应用于抗厌氧菌感染。《食品安全国家标准 食品中兽药最大残留限量》（GB 31650-2019）中规定，甲硝唑不得在动物性食品中检出。长期食用甲硝唑超标的食品可能会引起胃肠道反应恶心、呕吐、食欲不振、腹胀、腹泻等。</w:t>
      </w:r>
    </w:p>
    <w:p>
      <w:pPr>
        <w:pStyle w:val="9"/>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0" w:beforeAutospacing="0" w:after="0" w:afterAutospacing="0" w:line="560" w:lineRule="exact"/>
        <w:ind w:left="-3" w:leftChars="0" w:firstLine="643" w:firstLineChars="0"/>
        <w:jc w:val="both"/>
        <w:textAlignment w:val="auto"/>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克百威</w:t>
      </w:r>
    </w:p>
    <w:p>
      <w:pPr>
        <w:pStyle w:val="20"/>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 w:eastAsia="仿宋_GB2312" w:cs="宋体"/>
          <w:kern w:val="0"/>
          <w:sz w:val="32"/>
          <w:szCs w:val="32"/>
          <w:lang w:val="zh-CN" w:eastAsia="zh-CN" w:bidi="ar-SA"/>
        </w:rPr>
      </w:pPr>
      <w:r>
        <w:rPr>
          <w:rFonts w:hint="eastAsia" w:ascii="仿宋_GB2312" w:hAnsi="仿宋" w:eastAsia="仿宋_GB2312" w:cs="宋体"/>
          <w:kern w:val="0"/>
          <w:sz w:val="32"/>
          <w:szCs w:val="32"/>
          <w:lang w:val="zh-CN" w:eastAsia="zh-CN" w:bidi="ar-SA"/>
        </w:rPr>
        <w:t>克百威是一种具有内吸、触杀和胃毒作用的氨基甲酸酯类杀虫剂。《食品安全国家标准 食品中农药最大残留限量》（GB 2763-20</w:t>
      </w:r>
      <w:r>
        <w:rPr>
          <w:rFonts w:hint="eastAsia" w:ascii="仿宋_GB2312" w:hAnsi="仿宋" w:eastAsia="仿宋_GB2312" w:cs="宋体"/>
          <w:kern w:val="0"/>
          <w:sz w:val="32"/>
          <w:szCs w:val="32"/>
          <w:lang w:val="en-US" w:eastAsia="zh-CN" w:bidi="ar-SA"/>
        </w:rPr>
        <w:t>21</w:t>
      </w:r>
      <w:r>
        <w:rPr>
          <w:rFonts w:hint="eastAsia" w:ascii="仿宋_GB2312" w:hAnsi="仿宋" w:eastAsia="仿宋_GB2312" w:cs="宋体"/>
          <w:kern w:val="0"/>
          <w:sz w:val="32"/>
          <w:szCs w:val="32"/>
          <w:lang w:val="zh-CN" w:eastAsia="zh-CN" w:bidi="ar-SA"/>
        </w:rPr>
        <w:t>）中规定，豆类蔬菜中克百威（克百威和3-羟基克百威之和，以克百威计）</w:t>
      </w:r>
      <w:r>
        <w:rPr>
          <w:rFonts w:hint="eastAsia" w:ascii="仿宋_GB2312" w:hAnsi="仿宋" w:eastAsia="仿宋_GB2312" w:cs="宋体"/>
          <w:kern w:val="0"/>
          <w:sz w:val="32"/>
          <w:szCs w:val="32"/>
          <w:lang w:val="zh-CN"/>
        </w:rPr>
        <w:t>残留限量值</w:t>
      </w:r>
      <w:r>
        <w:rPr>
          <w:rFonts w:hint="eastAsia" w:ascii="仿宋_GB2312" w:hAnsi="仿宋" w:eastAsia="仿宋_GB2312" w:cs="宋体"/>
          <w:kern w:val="0"/>
          <w:sz w:val="32"/>
          <w:szCs w:val="32"/>
          <w:lang w:val="zh-CN" w:eastAsia="zh-CN" w:bidi="ar-SA"/>
        </w:rPr>
        <w:t>应≤0.02 mg/kg。克百威对鱼类、鸟类及野生动物有害。对在施药区觅食的鸟类可能致命，这种误食致死的鸟尸可能还会对其他鹰类及肉食鸟类造成危险，并且该农药不易降解，容易造成环境污染。</w:t>
      </w:r>
    </w:p>
    <w:p>
      <w:pPr>
        <w:pStyle w:val="9"/>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0" w:beforeAutospacing="0" w:after="0" w:afterAutospacing="0" w:line="560" w:lineRule="exact"/>
        <w:ind w:left="-3" w:leftChars="0" w:firstLine="643" w:firstLineChars="0"/>
        <w:jc w:val="both"/>
        <w:textAlignment w:val="auto"/>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灭蝇胺</w:t>
      </w:r>
    </w:p>
    <w:p>
      <w:pPr>
        <w:pStyle w:val="9"/>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s="宋体"/>
          <w:kern w:val="0"/>
          <w:sz w:val="32"/>
          <w:szCs w:val="32"/>
          <w:lang w:val="zh-CN" w:eastAsia="zh-CN" w:bidi="ar-SA"/>
        </w:rPr>
      </w:pPr>
      <w:r>
        <w:rPr>
          <w:rFonts w:hint="eastAsia" w:ascii="仿宋_GB2312" w:hAnsi="仿宋" w:eastAsia="仿宋_GB2312" w:cs="宋体"/>
          <w:kern w:val="0"/>
          <w:sz w:val="32"/>
          <w:szCs w:val="32"/>
          <w:lang w:val="zh-CN" w:eastAsia="zh-CN" w:bidi="ar-SA"/>
        </w:rPr>
        <w:t>灭蝇胺又名环丙氨嗪，为一种新型高效、低毒、含氮杂环类杀虫剂，是目前防治双翅目昆虫病虫害效果较好的生态农药。《食品安全国家标准食品中农药最大残留限量》（GB</w:t>
      </w:r>
      <w:r>
        <w:rPr>
          <w:rFonts w:hint="eastAsia" w:ascii="仿宋_GB2312" w:hAnsi="仿宋" w:eastAsia="仿宋_GB2312" w:cs="宋体"/>
          <w:kern w:val="0"/>
          <w:sz w:val="32"/>
          <w:szCs w:val="32"/>
          <w:lang w:val="en-US" w:eastAsia="zh-CN" w:bidi="ar-SA"/>
        </w:rPr>
        <w:t xml:space="preserve"> </w:t>
      </w:r>
      <w:r>
        <w:rPr>
          <w:rFonts w:hint="eastAsia" w:ascii="仿宋_GB2312" w:hAnsi="仿宋" w:eastAsia="仿宋_GB2312" w:cs="宋体"/>
          <w:kern w:val="0"/>
          <w:sz w:val="32"/>
          <w:szCs w:val="32"/>
          <w:lang w:val="zh-CN" w:eastAsia="zh-CN" w:bidi="ar-SA"/>
        </w:rPr>
        <w:t>2763</w:t>
      </w:r>
      <w:r>
        <w:rPr>
          <w:rFonts w:hint="eastAsia" w:ascii="仿宋_GB2312" w:hAnsi="仿宋" w:eastAsia="仿宋_GB2312" w:cs="宋体"/>
          <w:kern w:val="0"/>
          <w:sz w:val="32"/>
          <w:szCs w:val="32"/>
          <w:lang w:val="en-US" w:eastAsia="zh-CN" w:bidi="ar-SA"/>
        </w:rPr>
        <w:t>-2021</w:t>
      </w:r>
      <w:r>
        <w:rPr>
          <w:rFonts w:hint="eastAsia" w:ascii="仿宋_GB2312" w:hAnsi="仿宋" w:eastAsia="仿宋_GB2312" w:cs="宋体"/>
          <w:kern w:val="0"/>
          <w:sz w:val="32"/>
          <w:szCs w:val="32"/>
          <w:lang w:val="zh-CN" w:eastAsia="zh-CN" w:bidi="ar-SA"/>
        </w:rPr>
        <w:t>）中规定，灭蝇胺在豇豆中的</w:t>
      </w:r>
      <w:r>
        <w:rPr>
          <w:rFonts w:hint="eastAsia" w:ascii="仿宋_GB2312" w:hAnsi="仿宋" w:eastAsia="仿宋_GB2312" w:cs="宋体"/>
          <w:kern w:val="0"/>
          <w:sz w:val="32"/>
          <w:szCs w:val="32"/>
          <w:lang w:val="zh-CN"/>
        </w:rPr>
        <w:t>残留限量值</w:t>
      </w:r>
      <w:r>
        <w:rPr>
          <w:rFonts w:hint="eastAsia" w:ascii="仿宋_GB2312" w:hAnsi="仿宋" w:eastAsia="仿宋_GB2312" w:cs="宋体"/>
          <w:kern w:val="0"/>
          <w:sz w:val="32"/>
          <w:szCs w:val="32"/>
          <w:lang w:val="zh-CN" w:eastAsia="zh-CN" w:bidi="ar-SA"/>
        </w:rPr>
        <w:t>应≤0.5mg/kg。少量的农药残留不会引起人体急性中毒，但长期食用农药残留超标的食品，对人体健康有一定影响。</w:t>
      </w:r>
    </w:p>
    <w:p>
      <w:pPr>
        <w:pStyle w:val="9"/>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0" w:beforeAutospacing="0" w:after="0" w:afterAutospacing="0" w:line="560" w:lineRule="exact"/>
        <w:ind w:left="-3" w:leftChars="0" w:firstLine="643" w:firstLineChars="0"/>
        <w:jc w:val="both"/>
        <w:textAlignment w:val="auto"/>
        <w:rPr>
          <w:rFonts w:hint="default"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噻虫胺</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 w:eastAsia="仿宋_GB2312" w:cs="宋体"/>
          <w:kern w:val="0"/>
          <w:sz w:val="32"/>
          <w:szCs w:val="32"/>
          <w:lang w:val="zh-CN" w:eastAsia="zh-CN" w:bidi="ar-SA"/>
        </w:rPr>
      </w:pPr>
      <w:r>
        <w:rPr>
          <w:rFonts w:hint="eastAsia" w:ascii="仿宋_GB2312" w:hAnsi="仿宋" w:eastAsia="仿宋_GB2312" w:cs="宋体"/>
          <w:kern w:val="0"/>
          <w:sz w:val="32"/>
          <w:szCs w:val="32"/>
          <w:lang w:val="en-US" w:eastAsia="zh-CN" w:bidi="ar-SA"/>
        </w:rPr>
        <w:t>噻虫胺</w:t>
      </w:r>
      <w:r>
        <w:rPr>
          <w:rFonts w:hint="eastAsia" w:ascii="仿宋_GB2312" w:hAnsi="仿宋" w:cs="宋体"/>
          <w:kern w:val="0"/>
          <w:sz w:val="32"/>
          <w:szCs w:val="32"/>
          <w:lang w:val="en-US" w:eastAsia="zh-CN" w:bidi="ar-SA"/>
        </w:rPr>
        <w:t>是一种</w:t>
      </w:r>
      <w:r>
        <w:rPr>
          <w:rFonts w:hint="eastAsia" w:ascii="仿宋_GB2312" w:hAnsi="仿宋" w:eastAsia="仿宋_GB2312" w:cs="宋体"/>
          <w:kern w:val="0"/>
          <w:sz w:val="32"/>
          <w:szCs w:val="32"/>
          <w:lang w:val="en-US" w:eastAsia="zh-CN" w:bidi="ar-SA"/>
        </w:rPr>
        <w:t>烟碱类杀虫剂，具有触杀、胃毒作用，具有根内吸活性和层间传导性。</w:t>
      </w:r>
      <w:r>
        <w:rPr>
          <w:rFonts w:hint="eastAsia" w:ascii="仿宋_GB2312" w:hAnsi="仿宋" w:eastAsia="仿宋_GB2312" w:cs="宋体"/>
          <w:kern w:val="0"/>
          <w:sz w:val="32"/>
          <w:szCs w:val="32"/>
          <w:lang w:val="zh-CN" w:eastAsia="zh-CN" w:bidi="ar-SA"/>
        </w:rPr>
        <w:t>《食品安全国家标准食品中农药最大残留限量》（GB</w:t>
      </w:r>
      <w:r>
        <w:rPr>
          <w:rFonts w:hint="eastAsia" w:ascii="仿宋_GB2312" w:hAnsi="仿宋" w:eastAsia="仿宋_GB2312" w:cs="宋体"/>
          <w:kern w:val="0"/>
          <w:sz w:val="32"/>
          <w:szCs w:val="32"/>
          <w:lang w:val="en-US" w:eastAsia="zh-CN" w:bidi="ar-SA"/>
        </w:rPr>
        <w:t xml:space="preserve"> </w:t>
      </w:r>
      <w:r>
        <w:rPr>
          <w:rFonts w:hint="eastAsia" w:ascii="仿宋_GB2312" w:hAnsi="仿宋" w:eastAsia="仿宋_GB2312" w:cs="宋体"/>
          <w:kern w:val="0"/>
          <w:sz w:val="32"/>
          <w:szCs w:val="32"/>
          <w:lang w:val="zh-CN" w:eastAsia="zh-CN" w:bidi="ar-SA"/>
        </w:rPr>
        <w:t>2763</w:t>
      </w:r>
      <w:r>
        <w:rPr>
          <w:rFonts w:hint="eastAsia" w:ascii="仿宋_GB2312" w:hAnsi="仿宋" w:eastAsia="仿宋_GB2312" w:cs="宋体"/>
          <w:kern w:val="0"/>
          <w:sz w:val="32"/>
          <w:szCs w:val="32"/>
          <w:lang w:val="en-US" w:eastAsia="zh-CN" w:bidi="ar-SA"/>
        </w:rPr>
        <w:t>-2021</w:t>
      </w:r>
      <w:r>
        <w:rPr>
          <w:rFonts w:hint="eastAsia" w:ascii="仿宋_GB2312" w:hAnsi="仿宋" w:eastAsia="仿宋_GB2312" w:cs="宋体"/>
          <w:kern w:val="0"/>
          <w:sz w:val="32"/>
          <w:szCs w:val="32"/>
          <w:lang w:val="zh-CN" w:eastAsia="zh-CN" w:bidi="ar-SA"/>
        </w:rPr>
        <w:t>）中规定，灭蝇胺在</w:t>
      </w:r>
      <w:r>
        <w:rPr>
          <w:rFonts w:hint="eastAsia" w:ascii="仿宋_GB2312" w:hAnsi="仿宋" w:cs="宋体"/>
          <w:kern w:val="0"/>
          <w:sz w:val="32"/>
          <w:szCs w:val="32"/>
          <w:lang w:val="en-US" w:eastAsia="zh-CN" w:bidi="ar-SA"/>
        </w:rPr>
        <w:t>芹菜</w:t>
      </w:r>
      <w:r>
        <w:rPr>
          <w:rFonts w:hint="eastAsia" w:ascii="仿宋_GB2312" w:hAnsi="仿宋" w:eastAsia="仿宋_GB2312" w:cs="宋体"/>
          <w:kern w:val="0"/>
          <w:sz w:val="32"/>
          <w:szCs w:val="32"/>
          <w:lang w:val="zh-CN" w:eastAsia="zh-CN" w:bidi="ar-SA"/>
        </w:rPr>
        <w:t>中的</w:t>
      </w:r>
      <w:r>
        <w:rPr>
          <w:rFonts w:hint="eastAsia" w:ascii="仿宋_GB2312" w:hAnsi="仿宋" w:eastAsia="仿宋_GB2312" w:cs="宋体"/>
          <w:kern w:val="0"/>
          <w:sz w:val="32"/>
          <w:szCs w:val="32"/>
          <w:lang w:val="zh-CN"/>
        </w:rPr>
        <w:t>残留限量值</w:t>
      </w:r>
      <w:r>
        <w:rPr>
          <w:rFonts w:hint="eastAsia" w:ascii="仿宋_GB2312" w:hAnsi="仿宋" w:eastAsia="仿宋_GB2312" w:cs="宋体"/>
          <w:kern w:val="0"/>
          <w:sz w:val="32"/>
          <w:szCs w:val="32"/>
          <w:lang w:val="zh-CN" w:eastAsia="zh-CN" w:bidi="ar-SA"/>
        </w:rPr>
        <w:t>应≤0.</w:t>
      </w:r>
      <w:r>
        <w:rPr>
          <w:rFonts w:hint="eastAsia" w:ascii="仿宋_GB2312" w:hAnsi="仿宋" w:cs="宋体"/>
          <w:kern w:val="0"/>
          <w:sz w:val="32"/>
          <w:szCs w:val="32"/>
          <w:lang w:val="en-US" w:eastAsia="zh-CN" w:bidi="ar-SA"/>
        </w:rPr>
        <w:t>04</w:t>
      </w:r>
      <w:r>
        <w:rPr>
          <w:rFonts w:hint="eastAsia" w:ascii="仿宋_GB2312" w:hAnsi="仿宋" w:eastAsia="仿宋_GB2312" w:cs="宋体"/>
          <w:kern w:val="0"/>
          <w:sz w:val="32"/>
          <w:szCs w:val="32"/>
          <w:lang w:val="zh-CN" w:eastAsia="zh-CN" w:bidi="ar-SA"/>
        </w:rPr>
        <w:t>mg/kg。长期食用</w:t>
      </w:r>
      <w:r>
        <w:rPr>
          <w:rFonts w:hint="eastAsia" w:ascii="仿宋_GB2312" w:hAnsi="仿宋" w:cs="宋体"/>
          <w:kern w:val="0"/>
          <w:sz w:val="32"/>
          <w:szCs w:val="32"/>
          <w:lang w:val="en-US" w:eastAsia="zh-CN" w:bidi="ar-SA"/>
        </w:rPr>
        <w:t>噻虫胺</w:t>
      </w:r>
      <w:r>
        <w:rPr>
          <w:rFonts w:hint="eastAsia" w:ascii="仿宋_GB2312" w:hAnsi="仿宋" w:eastAsia="仿宋_GB2312" w:cs="宋体"/>
          <w:kern w:val="0"/>
          <w:sz w:val="32"/>
          <w:szCs w:val="32"/>
          <w:lang w:val="zh-CN" w:eastAsia="zh-CN" w:bidi="ar-SA"/>
        </w:rPr>
        <w:t>超标的食品可能会引起</w:t>
      </w:r>
      <w:r>
        <w:rPr>
          <w:rFonts w:hint="eastAsia" w:ascii="仿宋_GB2312" w:hAnsi="仿宋" w:eastAsia="仿宋_GB2312" w:cs="宋体"/>
          <w:kern w:val="0"/>
          <w:sz w:val="32"/>
          <w:szCs w:val="32"/>
          <w:lang w:val="en-US" w:eastAsia="zh-CN" w:bidi="ar-SA"/>
        </w:rPr>
        <w:t>可出现恶心、呕吐、头痛、乏力、躁动、抽搐等。</w:t>
      </w:r>
    </w:p>
    <w:p>
      <w:pPr>
        <w:pStyle w:val="9"/>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0" w:beforeAutospacing="0" w:after="0" w:afterAutospacing="0" w:line="560" w:lineRule="exact"/>
        <w:ind w:left="-3" w:leftChars="0" w:firstLine="643" w:firstLineChars="0"/>
        <w:jc w:val="both"/>
        <w:textAlignment w:val="auto"/>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铅</w:t>
      </w:r>
    </w:p>
    <w:p>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铅是一种能够在生物体内蓄积且排除缓慢的重金属污染物。《食品安全国家标准 食品中污染物限量》（GB 2762-2017）中规定，蔬菜制品中铅(以Pb计)应≤1.0mg/kg</w:t>
      </w:r>
      <w:r>
        <w:rPr>
          <w:rFonts w:hint="eastAsia" w:ascii="仿宋_GB2312" w:hAnsi="仿宋"/>
          <w:sz w:val="32"/>
          <w:szCs w:val="32"/>
          <w:lang w:eastAsia="zh-CN"/>
        </w:rPr>
        <w:t>。</w:t>
      </w:r>
      <w:r>
        <w:rPr>
          <w:rFonts w:hint="eastAsia" w:ascii="仿宋_GB2312" w:hAnsi="仿宋" w:eastAsia="仿宋_GB2312"/>
          <w:sz w:val="32"/>
          <w:szCs w:val="32"/>
        </w:rPr>
        <w:t>铅蓄积在体内可能会影响大脑和神经系统，尤其会对儿童造成智力发育障碍和表现行为异常。</w:t>
      </w:r>
    </w:p>
    <w:p>
      <w:pPr>
        <w:pStyle w:val="9"/>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0" w:beforeAutospacing="0" w:after="0" w:afterAutospacing="0" w:line="560" w:lineRule="exact"/>
        <w:ind w:left="-3" w:leftChars="0" w:firstLine="643" w:firstLineChars="0"/>
        <w:jc w:val="both"/>
        <w:textAlignment w:val="auto"/>
        <w:rPr>
          <w:rFonts w:hint="default"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代森锌</w:t>
      </w:r>
    </w:p>
    <w:p>
      <w:pPr>
        <w:pStyle w:val="9"/>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default"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代森锌</w:t>
      </w:r>
      <w:r>
        <w:rPr>
          <w:rFonts w:hint="default" w:ascii="仿宋_GB2312" w:hAnsi="仿宋" w:eastAsia="仿宋_GB2312" w:cs="Times New Roman"/>
          <w:kern w:val="2"/>
          <w:sz w:val="32"/>
          <w:szCs w:val="32"/>
          <w:lang w:val="en-US" w:eastAsia="zh-CN" w:bidi="ar-SA"/>
        </w:rPr>
        <w:t>是一种广谱性、保护性杀菌剂，可用于防治水稻、麦类、蔬菜、葡萄、果树、烟草等作物的多种病害</w:t>
      </w:r>
      <w:r>
        <w:rPr>
          <w:rFonts w:hint="eastAsia" w:ascii="仿宋_GB2312" w:hAnsi="仿宋" w:eastAsia="仿宋_GB2312" w:cs="Times New Roman"/>
          <w:kern w:val="2"/>
          <w:sz w:val="32"/>
          <w:szCs w:val="32"/>
          <w:lang w:val="en-US" w:eastAsia="zh-CN" w:bidi="ar-SA"/>
        </w:rPr>
        <w:t>。</w:t>
      </w:r>
      <w:r>
        <w:rPr>
          <w:rFonts w:hint="eastAsia" w:ascii="仿宋_GB2312" w:hAnsi="仿宋" w:eastAsia="仿宋_GB2312" w:cs="宋体"/>
          <w:kern w:val="0"/>
          <w:sz w:val="32"/>
          <w:szCs w:val="32"/>
          <w:lang w:val="zh-CN" w:eastAsia="zh-CN" w:bidi="ar-SA"/>
        </w:rPr>
        <w:t>《食品安全国家标准食品中农药最大残留限量》（GB</w:t>
      </w:r>
      <w:r>
        <w:rPr>
          <w:rFonts w:hint="eastAsia" w:ascii="仿宋_GB2312" w:hAnsi="仿宋" w:eastAsia="仿宋_GB2312" w:cs="宋体"/>
          <w:kern w:val="0"/>
          <w:sz w:val="32"/>
          <w:szCs w:val="32"/>
          <w:lang w:val="en-US" w:eastAsia="zh-CN" w:bidi="ar-SA"/>
        </w:rPr>
        <w:t xml:space="preserve"> </w:t>
      </w:r>
      <w:r>
        <w:rPr>
          <w:rFonts w:hint="eastAsia" w:ascii="仿宋_GB2312" w:hAnsi="仿宋" w:eastAsia="仿宋_GB2312" w:cs="宋体"/>
          <w:kern w:val="0"/>
          <w:sz w:val="32"/>
          <w:szCs w:val="32"/>
          <w:lang w:val="zh-CN" w:eastAsia="zh-CN" w:bidi="ar-SA"/>
        </w:rPr>
        <w:t>2763</w:t>
      </w:r>
      <w:r>
        <w:rPr>
          <w:rFonts w:hint="eastAsia" w:ascii="仿宋_GB2312" w:hAnsi="仿宋" w:eastAsia="仿宋_GB2312" w:cs="宋体"/>
          <w:kern w:val="0"/>
          <w:sz w:val="32"/>
          <w:szCs w:val="32"/>
          <w:lang w:val="en-US" w:eastAsia="zh-CN" w:bidi="ar-SA"/>
        </w:rPr>
        <w:t>-2021</w:t>
      </w:r>
      <w:r>
        <w:rPr>
          <w:rFonts w:hint="eastAsia" w:ascii="仿宋_GB2312" w:hAnsi="仿宋" w:eastAsia="仿宋_GB2312" w:cs="宋体"/>
          <w:kern w:val="0"/>
          <w:sz w:val="32"/>
          <w:szCs w:val="32"/>
          <w:lang w:val="zh-CN" w:eastAsia="zh-CN" w:bidi="ar-SA"/>
        </w:rPr>
        <w:t>）中规定，</w:t>
      </w:r>
      <w:r>
        <w:rPr>
          <w:rFonts w:hint="eastAsia" w:ascii="仿宋_GB2312" w:hAnsi="仿宋" w:eastAsia="仿宋_GB2312" w:cs="宋体"/>
          <w:kern w:val="0"/>
          <w:sz w:val="32"/>
          <w:szCs w:val="32"/>
          <w:lang w:val="en-US" w:eastAsia="zh-CN" w:bidi="ar-SA"/>
        </w:rPr>
        <w:t>代森锌</w:t>
      </w:r>
      <w:r>
        <w:rPr>
          <w:rFonts w:hint="eastAsia" w:ascii="仿宋_GB2312" w:hAnsi="仿宋" w:eastAsia="仿宋_GB2312" w:cs="宋体"/>
          <w:kern w:val="0"/>
          <w:sz w:val="32"/>
          <w:szCs w:val="32"/>
          <w:lang w:val="zh-CN" w:eastAsia="zh-CN" w:bidi="ar-SA"/>
        </w:rPr>
        <w:t>在</w:t>
      </w:r>
      <w:r>
        <w:rPr>
          <w:rFonts w:hint="eastAsia" w:ascii="仿宋_GB2312" w:hAnsi="仿宋" w:cs="宋体"/>
          <w:kern w:val="0"/>
          <w:sz w:val="32"/>
          <w:szCs w:val="32"/>
          <w:lang w:val="en-US" w:eastAsia="zh-CN" w:bidi="ar-SA"/>
        </w:rPr>
        <w:t>葱</w:t>
      </w:r>
      <w:r>
        <w:rPr>
          <w:rFonts w:hint="eastAsia" w:ascii="仿宋_GB2312" w:hAnsi="仿宋" w:eastAsia="仿宋_GB2312" w:cs="宋体"/>
          <w:kern w:val="0"/>
          <w:sz w:val="32"/>
          <w:szCs w:val="32"/>
          <w:lang w:val="zh-CN" w:eastAsia="zh-CN" w:bidi="ar-SA"/>
        </w:rPr>
        <w:t>中的</w:t>
      </w:r>
      <w:r>
        <w:rPr>
          <w:rFonts w:hint="eastAsia" w:ascii="仿宋_GB2312" w:hAnsi="仿宋" w:eastAsia="仿宋_GB2312" w:cs="宋体"/>
          <w:kern w:val="0"/>
          <w:sz w:val="32"/>
          <w:szCs w:val="32"/>
          <w:lang w:val="zh-CN"/>
        </w:rPr>
        <w:t>残留限量值</w:t>
      </w:r>
      <w:r>
        <w:rPr>
          <w:rFonts w:hint="eastAsia" w:ascii="仿宋_GB2312" w:hAnsi="仿宋" w:eastAsia="仿宋_GB2312" w:cs="宋体"/>
          <w:kern w:val="0"/>
          <w:sz w:val="32"/>
          <w:szCs w:val="32"/>
          <w:lang w:val="zh-CN" w:eastAsia="zh-CN" w:bidi="ar-SA"/>
        </w:rPr>
        <w:t>应≤0.</w:t>
      </w:r>
      <w:r>
        <w:rPr>
          <w:rFonts w:hint="eastAsia" w:ascii="仿宋_GB2312" w:hAnsi="仿宋" w:cs="宋体"/>
          <w:kern w:val="0"/>
          <w:sz w:val="32"/>
          <w:szCs w:val="32"/>
          <w:lang w:val="en-US" w:eastAsia="zh-CN" w:bidi="ar-SA"/>
        </w:rPr>
        <w:t>5</w:t>
      </w:r>
      <w:r>
        <w:rPr>
          <w:rFonts w:hint="eastAsia" w:ascii="仿宋_GB2312" w:hAnsi="仿宋" w:eastAsia="仿宋_GB2312" w:cs="宋体"/>
          <w:kern w:val="0"/>
          <w:sz w:val="32"/>
          <w:szCs w:val="32"/>
          <w:lang w:val="zh-CN" w:eastAsia="zh-CN" w:bidi="ar-SA"/>
        </w:rPr>
        <w:t>mg/kg。少量的农药残留不会引起人体急性中毒，但长期食用农药残留超标的食品，对人体健康有一定影响。</w:t>
      </w:r>
    </w:p>
    <w:p>
      <w:pPr>
        <w:pStyle w:val="9"/>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ascii="黑体" w:hAnsi="黑体" w:eastAsia="黑体" w:cs="仿宋_GB2312"/>
          <w:color w:val="auto"/>
          <w:sz w:val="32"/>
          <w:szCs w:val="32"/>
        </w:rPr>
        <w:t>二、建议</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（一）加强原辅料的把控</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hAnsi="仿宋" w:eastAsia="仿宋_GB2312"/>
          <w:color w:val="auto"/>
          <w:sz w:val="32"/>
          <w:szCs w:val="32"/>
        </w:rPr>
      </w:pPr>
      <w:r>
        <w:rPr>
          <w:rFonts w:hint="eastAsia" w:ascii="仿宋_GB2312" w:hAnsi="仿宋" w:eastAsia="仿宋_GB2312"/>
          <w:color w:val="auto"/>
          <w:sz w:val="32"/>
          <w:szCs w:val="32"/>
        </w:rPr>
        <w:t>食品原料的质量与卫生是食品质量安全的前提。食品生产经营单位应加强对所使用的原材料的质量管理，建立进货查验、索证索票和进货台账制度，查验供货者的许可证和包含必要检验项目的食品合格证明文件，不得采购腐败变质、发霉、质量不新鲜的食品原料，确保各种原辅料的质量符合标准的有关规定和要求。</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二</w:t>
      </w:r>
      <w:r>
        <w:rPr>
          <w:rFonts w:hint="eastAsia" w:ascii="方正楷体_GB2312" w:hAnsi="方正楷体_GB2312" w:eastAsia="方正楷体_GB2312" w:cs="方正楷体_GB2312"/>
          <w:b/>
          <w:sz w:val="32"/>
          <w:szCs w:val="32"/>
          <w:lang w:val="zh-CN" w:eastAsia="zh-CN"/>
        </w:rPr>
        <w:t>）加强运输、存储环境控制</w:t>
      </w:r>
    </w:p>
    <w:p>
      <w:pPr>
        <w:pStyle w:val="9"/>
        <w:shd w:val="clear" w:color="auto" w:fill="FFFFFF"/>
        <w:spacing w:before="0" w:beforeAutospacing="0" w:after="0" w:afterAutospacing="0"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食品经营者应保证运输和装卸食品的容器、工具和设备清洁、无害，保证食品的经营环境和储存环境等符合与食品所需的环境，并及时清理变质、超过保质期及其他不符合标准要求的食品；针对特殊贮存要求的食品，食品经营者在运输、贮藏时应当符合食品安全所需要的温度、空间隔离等特殊要求，防止交叉污染。</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（三）加强食品出厂检验</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eastAsia="仿宋_GB2312"/>
          <w:color w:val="auto"/>
          <w:sz w:val="32"/>
          <w:szCs w:val="32"/>
        </w:rPr>
        <w:t>食品生产企业要强化重视出厂检验的意识，制定切合自身且不断完善的出厂检验制度；建立完善的检测条件对产品进行日常监管，制定出厂检验计划并严格执行，确保生产合格的产品；加强对生产成品的检测频率，进行自检或送往具有相关资质的检测机构进行检测；建立</w:t>
      </w:r>
      <w:r>
        <w:rPr>
          <w:rFonts w:hint="eastAsia" w:eastAsia="仿宋_GB2312"/>
          <w:color w:val="auto"/>
          <w:sz w:val="32"/>
          <w:szCs w:val="32"/>
          <w:lang w:eastAsia="zh-CN"/>
        </w:rPr>
        <w:t>及</w:t>
      </w:r>
      <w:r>
        <w:rPr>
          <w:rFonts w:hint="eastAsia" w:eastAsia="仿宋_GB2312"/>
          <w:color w:val="auto"/>
          <w:sz w:val="32"/>
          <w:szCs w:val="32"/>
        </w:rPr>
        <w:t>健全产品召回机制，</w:t>
      </w:r>
      <w:r>
        <w:rPr>
          <w:rFonts w:hint="eastAsia" w:eastAsia="仿宋_GB2312"/>
          <w:color w:val="auto"/>
          <w:sz w:val="32"/>
          <w:szCs w:val="32"/>
          <w:lang w:eastAsia="zh-CN"/>
        </w:rPr>
        <w:t>以</w:t>
      </w:r>
      <w:r>
        <w:rPr>
          <w:rFonts w:hint="eastAsia" w:eastAsia="仿宋_GB2312"/>
          <w:color w:val="auto"/>
          <w:sz w:val="32"/>
          <w:szCs w:val="32"/>
        </w:rPr>
        <w:t>应对突发产品质量问题。</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（四）提高食品添加剂安全使用意识</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部分食品生产经营者为了追求经济效益，对食品添加剂过于依赖，但对食品添加剂使用要求却执行不到位。因此</w:t>
      </w:r>
      <w:r>
        <w:rPr>
          <w:rFonts w:hint="eastAsia" w:ascii="仿宋_GB2312" w:hAnsi="仿宋" w:eastAsia="仿宋_GB2312"/>
          <w:color w:val="0000FF"/>
          <w:sz w:val="32"/>
          <w:szCs w:val="32"/>
          <w:highlight w:val="none"/>
          <w:lang w:eastAsia="zh-CN"/>
        </w:rPr>
        <w:t>，</w:t>
      </w:r>
      <w:r>
        <w:rPr>
          <w:rFonts w:hint="eastAsia" w:ascii="仿宋_GB2312" w:hAnsi="仿宋" w:eastAsia="仿宋_GB2312"/>
          <w:color w:val="auto"/>
          <w:sz w:val="32"/>
          <w:szCs w:val="32"/>
          <w:highlight w:val="none"/>
          <w:lang w:eastAsia="zh-CN"/>
        </w:rPr>
        <w:t>应</w:t>
      </w:r>
      <w:r>
        <w:rPr>
          <w:rFonts w:hint="eastAsia" w:ascii="仿宋_GB2312" w:hAnsi="仿宋" w:eastAsia="仿宋_GB2312"/>
          <w:color w:val="auto"/>
          <w:sz w:val="32"/>
          <w:szCs w:val="32"/>
          <w:highlight w:val="none"/>
        </w:rPr>
        <w:t>落实企业主体，加大对食品生产企业关于食品添加剂的相关法律法规和国家标准知识的宣传力度，进一步宣贯违法添加和滥用食品添加剂行为的危害性以及通过加大惩处等措施来提高食品生产企业食品添加剂安全使用意识。</w:t>
      </w:r>
    </w:p>
    <w:p>
      <w:pPr>
        <w:spacing w:line="560" w:lineRule="exact"/>
        <w:ind w:firstLine="640" w:firstLineChars="200"/>
        <w:rPr>
          <w:rFonts w:hint="eastAsia" w:ascii="仿宋_GB2312" w:hAnsi="仿宋" w:eastAsia="仿宋_GB2312" w:cs="宋体"/>
          <w:color w:val="auto"/>
          <w:kern w:val="0"/>
          <w:sz w:val="32"/>
          <w:szCs w:val="32"/>
          <w:highlight w:val="none"/>
          <w:lang w:val="zh-CN" w:eastAsia="zh-CN" w:bidi="ar-SA"/>
        </w:rPr>
      </w:pPr>
      <w:r>
        <w:rPr>
          <w:rFonts w:hint="eastAsia" w:ascii="仿宋_GB2312" w:hAnsi="仿宋" w:eastAsia="仿宋_GB2312" w:cs="宋体"/>
          <w:color w:val="auto"/>
          <w:kern w:val="0"/>
          <w:sz w:val="32"/>
          <w:szCs w:val="32"/>
          <w:highlight w:val="none"/>
          <w:lang w:val="zh-CN" w:eastAsia="zh-CN" w:bidi="ar-SA"/>
        </w:rPr>
        <w:t>（五）规范食用农产品药物的使用</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s="宋体"/>
          <w:color w:val="auto"/>
          <w:kern w:val="0"/>
          <w:sz w:val="32"/>
          <w:szCs w:val="32"/>
          <w:highlight w:val="none"/>
          <w:lang w:val="en-US" w:eastAsia="zh-CN" w:bidi="ar-SA"/>
        </w:rPr>
      </w:pPr>
      <w:r>
        <w:rPr>
          <w:rFonts w:hint="eastAsia" w:ascii="仿宋_GB2312" w:hAnsi="仿宋" w:eastAsia="仿宋_GB2312" w:cs="宋体"/>
          <w:color w:val="auto"/>
          <w:kern w:val="0"/>
          <w:sz w:val="32"/>
          <w:szCs w:val="32"/>
          <w:highlight w:val="none"/>
          <w:lang w:val="en-US" w:eastAsia="zh-CN" w:bidi="ar-SA"/>
        </w:rPr>
        <w:t>针对种养殖环节，种养殖户应严格按照药物说明书进行规范用药。加大对生产经营人员专业知识的培训，对种养殖基地、农户进行药物使用知识的培训力度，加强种养殖户对不同季节、不同农作物使用农药和畜禽使用兽药情况的了解。同时，建议有关部门加大对深圳各场所农产品的抽检力度，对发现的违法用药行为进行严厉处罚，并进一步加强对非食用物质的监管，加大针对性抽检的力度。</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olor w:val="auto"/>
          <w:sz w:val="32"/>
          <w:szCs w:val="32"/>
          <w:highlight w:val="none"/>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Calibri Light">
    <w:altName w:val="DejaVu Sans"/>
    <w:panose1 w:val="020F0302020204030204"/>
    <w:charset w:val="00"/>
    <w:family w:val="swiss"/>
    <w:pitch w:val="default"/>
    <w:sig w:usb0="00000000" w:usb1="00000000"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方正楷体_GB2312">
    <w:altName w:val="方正楷体_GBK"/>
    <w:panose1 w:val="02000000000000000000"/>
    <w:charset w:val="86"/>
    <w:family w:val="auto"/>
    <w:pitch w:val="default"/>
    <w:sig w:usb0="00000000" w:usb1="00000000"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微软雅黑">
    <w:altName w:val="方正黑体_GBK"/>
    <w:panose1 w:val="020B0503020204020204"/>
    <w:charset w:val="86"/>
    <w:family w:val="swiss"/>
    <w:pitch w:val="default"/>
    <w:sig w:usb0="00000000" w:usb1="0000000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汉仪中宋简">
    <w:panose1 w:val="02010600000101010101"/>
    <w:charset w:val="86"/>
    <w:family w:val="auto"/>
    <w:pitch w:val="default"/>
    <w:sig w:usb0="00000001" w:usb1="080E0800" w:usb2="00000002" w:usb3="00000000" w:csb0="00040000"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EFD8C0"/>
    <w:multiLevelType w:val="singleLevel"/>
    <w:tmpl w:val="EEEFD8C0"/>
    <w:lvl w:ilvl="0" w:tentative="0">
      <w:start w:val="8"/>
      <w:numFmt w:val="chineseCounting"/>
      <w:suff w:val="nothing"/>
      <w:lvlText w:val="（%1）"/>
      <w:lvlJc w:val="left"/>
      <w:pPr>
        <w:ind w:left="-3"/>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30"/>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FkNWY3MDE3M2RiODhiZTRhOWM0N2VmNTEzZWI5MGUifQ=="/>
  </w:docVars>
  <w:rsids>
    <w:rsidRoot w:val="010D4506"/>
    <w:rsid w:val="000139C9"/>
    <w:rsid w:val="005363F0"/>
    <w:rsid w:val="006B1DCC"/>
    <w:rsid w:val="00724BD2"/>
    <w:rsid w:val="008D6C99"/>
    <w:rsid w:val="00B977A2"/>
    <w:rsid w:val="00BE4BAD"/>
    <w:rsid w:val="00BF706B"/>
    <w:rsid w:val="00CD6745"/>
    <w:rsid w:val="010D4506"/>
    <w:rsid w:val="01147286"/>
    <w:rsid w:val="01565C22"/>
    <w:rsid w:val="017D0269"/>
    <w:rsid w:val="01880CE2"/>
    <w:rsid w:val="01D53863"/>
    <w:rsid w:val="01DD3C4D"/>
    <w:rsid w:val="03365C46"/>
    <w:rsid w:val="034743C9"/>
    <w:rsid w:val="034F1986"/>
    <w:rsid w:val="03E020C5"/>
    <w:rsid w:val="03FD00B3"/>
    <w:rsid w:val="0453793B"/>
    <w:rsid w:val="04977BD5"/>
    <w:rsid w:val="055921C9"/>
    <w:rsid w:val="055A195A"/>
    <w:rsid w:val="0597115B"/>
    <w:rsid w:val="06261016"/>
    <w:rsid w:val="06585F98"/>
    <w:rsid w:val="066C5CEA"/>
    <w:rsid w:val="06894B40"/>
    <w:rsid w:val="06F0528D"/>
    <w:rsid w:val="06F3181D"/>
    <w:rsid w:val="07486F42"/>
    <w:rsid w:val="07C82C95"/>
    <w:rsid w:val="07E04EFC"/>
    <w:rsid w:val="081209FA"/>
    <w:rsid w:val="081B38E6"/>
    <w:rsid w:val="08AD06EB"/>
    <w:rsid w:val="08F00F9F"/>
    <w:rsid w:val="091C5D20"/>
    <w:rsid w:val="099F35F4"/>
    <w:rsid w:val="0A101FAB"/>
    <w:rsid w:val="0A416AB6"/>
    <w:rsid w:val="0A545255"/>
    <w:rsid w:val="0AEA5DCE"/>
    <w:rsid w:val="0B5F7337"/>
    <w:rsid w:val="0B66492E"/>
    <w:rsid w:val="0B6F4B3F"/>
    <w:rsid w:val="0B9C34ED"/>
    <w:rsid w:val="0C083FBC"/>
    <w:rsid w:val="0C0C4E1D"/>
    <w:rsid w:val="0C455D22"/>
    <w:rsid w:val="0C6F4539"/>
    <w:rsid w:val="0C760736"/>
    <w:rsid w:val="0CBF7726"/>
    <w:rsid w:val="0CD4225F"/>
    <w:rsid w:val="0D1C5633"/>
    <w:rsid w:val="0D6C4E32"/>
    <w:rsid w:val="0DF26CD2"/>
    <w:rsid w:val="0E431583"/>
    <w:rsid w:val="0EA926E5"/>
    <w:rsid w:val="0EA93008"/>
    <w:rsid w:val="0EC839C2"/>
    <w:rsid w:val="0F261454"/>
    <w:rsid w:val="0F567840"/>
    <w:rsid w:val="0FE51EE1"/>
    <w:rsid w:val="108B31AA"/>
    <w:rsid w:val="10AD16A7"/>
    <w:rsid w:val="10BA4D47"/>
    <w:rsid w:val="1162065F"/>
    <w:rsid w:val="118714DF"/>
    <w:rsid w:val="11B32DA0"/>
    <w:rsid w:val="11BA183E"/>
    <w:rsid w:val="11CE6913"/>
    <w:rsid w:val="11E172CB"/>
    <w:rsid w:val="11F21CEC"/>
    <w:rsid w:val="1210526E"/>
    <w:rsid w:val="12AF7645"/>
    <w:rsid w:val="12B51B83"/>
    <w:rsid w:val="12D976B3"/>
    <w:rsid w:val="137821D3"/>
    <w:rsid w:val="13803E88"/>
    <w:rsid w:val="139A1CB2"/>
    <w:rsid w:val="13E774D5"/>
    <w:rsid w:val="141B2394"/>
    <w:rsid w:val="14292A97"/>
    <w:rsid w:val="1499532A"/>
    <w:rsid w:val="1512088F"/>
    <w:rsid w:val="15170DCC"/>
    <w:rsid w:val="155219D3"/>
    <w:rsid w:val="15FE7C46"/>
    <w:rsid w:val="16396F4B"/>
    <w:rsid w:val="164E1FAB"/>
    <w:rsid w:val="165773C2"/>
    <w:rsid w:val="16A102CE"/>
    <w:rsid w:val="16A52765"/>
    <w:rsid w:val="176818BF"/>
    <w:rsid w:val="17AE2E53"/>
    <w:rsid w:val="17C62E78"/>
    <w:rsid w:val="17CA0823"/>
    <w:rsid w:val="17FA5E44"/>
    <w:rsid w:val="181E6360"/>
    <w:rsid w:val="182C56B9"/>
    <w:rsid w:val="18A6137C"/>
    <w:rsid w:val="18F91C2D"/>
    <w:rsid w:val="18FA3DC4"/>
    <w:rsid w:val="199008F8"/>
    <w:rsid w:val="19EB104A"/>
    <w:rsid w:val="1A19393D"/>
    <w:rsid w:val="1A2F146E"/>
    <w:rsid w:val="1A81096D"/>
    <w:rsid w:val="1A84029D"/>
    <w:rsid w:val="1AB574C5"/>
    <w:rsid w:val="1AC27A2C"/>
    <w:rsid w:val="1AC759AF"/>
    <w:rsid w:val="1AE32ACD"/>
    <w:rsid w:val="1B042E72"/>
    <w:rsid w:val="1B7E0D88"/>
    <w:rsid w:val="1BA56199"/>
    <w:rsid w:val="1C2B3ECE"/>
    <w:rsid w:val="1C354059"/>
    <w:rsid w:val="1D235A85"/>
    <w:rsid w:val="1D3D5D17"/>
    <w:rsid w:val="1DB57EDF"/>
    <w:rsid w:val="1E3C794C"/>
    <w:rsid w:val="1EFD4E3F"/>
    <w:rsid w:val="1F120F82"/>
    <w:rsid w:val="1F456A61"/>
    <w:rsid w:val="1FA37E2C"/>
    <w:rsid w:val="1FEA3D63"/>
    <w:rsid w:val="200B2815"/>
    <w:rsid w:val="20303594"/>
    <w:rsid w:val="208760C8"/>
    <w:rsid w:val="208E2538"/>
    <w:rsid w:val="2103478D"/>
    <w:rsid w:val="21415B46"/>
    <w:rsid w:val="21912FA1"/>
    <w:rsid w:val="219C06C7"/>
    <w:rsid w:val="22F15479"/>
    <w:rsid w:val="231A399D"/>
    <w:rsid w:val="24415E66"/>
    <w:rsid w:val="247E06E4"/>
    <w:rsid w:val="248553AF"/>
    <w:rsid w:val="249A66FD"/>
    <w:rsid w:val="24F01236"/>
    <w:rsid w:val="25131149"/>
    <w:rsid w:val="255973C6"/>
    <w:rsid w:val="255D305C"/>
    <w:rsid w:val="257D0D7B"/>
    <w:rsid w:val="259D0E7A"/>
    <w:rsid w:val="25D84592"/>
    <w:rsid w:val="262E6380"/>
    <w:rsid w:val="26635934"/>
    <w:rsid w:val="26D25598"/>
    <w:rsid w:val="27084E46"/>
    <w:rsid w:val="270C1F17"/>
    <w:rsid w:val="274815F0"/>
    <w:rsid w:val="27537B32"/>
    <w:rsid w:val="27786C5E"/>
    <w:rsid w:val="27D171E0"/>
    <w:rsid w:val="282A264F"/>
    <w:rsid w:val="28664823"/>
    <w:rsid w:val="28EE2E75"/>
    <w:rsid w:val="2911326E"/>
    <w:rsid w:val="2928376B"/>
    <w:rsid w:val="29292876"/>
    <w:rsid w:val="295771E6"/>
    <w:rsid w:val="29DF09A6"/>
    <w:rsid w:val="2A012B32"/>
    <w:rsid w:val="2A2E5413"/>
    <w:rsid w:val="2A706ED1"/>
    <w:rsid w:val="2A95365C"/>
    <w:rsid w:val="2ACC6C6B"/>
    <w:rsid w:val="2B0D6532"/>
    <w:rsid w:val="2B8F5708"/>
    <w:rsid w:val="2BA5399C"/>
    <w:rsid w:val="2C6F3579"/>
    <w:rsid w:val="2C784420"/>
    <w:rsid w:val="2D145EC5"/>
    <w:rsid w:val="2D2D024C"/>
    <w:rsid w:val="2DA27B95"/>
    <w:rsid w:val="2DCA4231"/>
    <w:rsid w:val="2E172668"/>
    <w:rsid w:val="2E6B3A9D"/>
    <w:rsid w:val="2E871900"/>
    <w:rsid w:val="2F085758"/>
    <w:rsid w:val="2F3F7F56"/>
    <w:rsid w:val="2F4F707A"/>
    <w:rsid w:val="2FD45D99"/>
    <w:rsid w:val="2FFC71C6"/>
    <w:rsid w:val="307B5CC3"/>
    <w:rsid w:val="308A4336"/>
    <w:rsid w:val="30B3361E"/>
    <w:rsid w:val="31044F7C"/>
    <w:rsid w:val="31200851"/>
    <w:rsid w:val="31831750"/>
    <w:rsid w:val="3189778C"/>
    <w:rsid w:val="31AA7543"/>
    <w:rsid w:val="31EA5456"/>
    <w:rsid w:val="31EF1FC4"/>
    <w:rsid w:val="323F00BC"/>
    <w:rsid w:val="324700B2"/>
    <w:rsid w:val="330F0153"/>
    <w:rsid w:val="33132CF8"/>
    <w:rsid w:val="3334531C"/>
    <w:rsid w:val="336A3327"/>
    <w:rsid w:val="33713745"/>
    <w:rsid w:val="34264611"/>
    <w:rsid w:val="343E30F0"/>
    <w:rsid w:val="348E513C"/>
    <w:rsid w:val="34A77C54"/>
    <w:rsid w:val="34B74329"/>
    <w:rsid w:val="34FF4C0B"/>
    <w:rsid w:val="354F3FC5"/>
    <w:rsid w:val="35BC7A15"/>
    <w:rsid w:val="36A26439"/>
    <w:rsid w:val="36A86284"/>
    <w:rsid w:val="372845B2"/>
    <w:rsid w:val="37790A88"/>
    <w:rsid w:val="3787038C"/>
    <w:rsid w:val="37CC35F3"/>
    <w:rsid w:val="37DD6246"/>
    <w:rsid w:val="37FC2378"/>
    <w:rsid w:val="382D7593"/>
    <w:rsid w:val="38622AFA"/>
    <w:rsid w:val="387272BF"/>
    <w:rsid w:val="38865B2F"/>
    <w:rsid w:val="38E250CA"/>
    <w:rsid w:val="391B060E"/>
    <w:rsid w:val="39264334"/>
    <w:rsid w:val="39275408"/>
    <w:rsid w:val="3949339B"/>
    <w:rsid w:val="39824C43"/>
    <w:rsid w:val="398B0B0F"/>
    <w:rsid w:val="39C64A66"/>
    <w:rsid w:val="3A193765"/>
    <w:rsid w:val="3AB301FA"/>
    <w:rsid w:val="3B1904CB"/>
    <w:rsid w:val="3B2518DE"/>
    <w:rsid w:val="3B504FA6"/>
    <w:rsid w:val="3BAB1A67"/>
    <w:rsid w:val="3BFE4DC9"/>
    <w:rsid w:val="3C064771"/>
    <w:rsid w:val="3C8F2962"/>
    <w:rsid w:val="3CA67A9F"/>
    <w:rsid w:val="3CDD7A17"/>
    <w:rsid w:val="3D1B4620"/>
    <w:rsid w:val="3D7309E6"/>
    <w:rsid w:val="3DBC0B10"/>
    <w:rsid w:val="3DF44DD4"/>
    <w:rsid w:val="3E051E67"/>
    <w:rsid w:val="3E1079E4"/>
    <w:rsid w:val="3E182457"/>
    <w:rsid w:val="3E88008E"/>
    <w:rsid w:val="3E984FE9"/>
    <w:rsid w:val="3EC80CDE"/>
    <w:rsid w:val="3F033412"/>
    <w:rsid w:val="3F0B45B6"/>
    <w:rsid w:val="3F685D87"/>
    <w:rsid w:val="3F7A3AC2"/>
    <w:rsid w:val="40191044"/>
    <w:rsid w:val="411C1395"/>
    <w:rsid w:val="41752CDE"/>
    <w:rsid w:val="41CA2B9F"/>
    <w:rsid w:val="42016010"/>
    <w:rsid w:val="428251DB"/>
    <w:rsid w:val="42C23130"/>
    <w:rsid w:val="42D71D53"/>
    <w:rsid w:val="43974288"/>
    <w:rsid w:val="439F5506"/>
    <w:rsid w:val="440F147B"/>
    <w:rsid w:val="44141429"/>
    <w:rsid w:val="44896D41"/>
    <w:rsid w:val="44D452BA"/>
    <w:rsid w:val="45104BE6"/>
    <w:rsid w:val="460F4F06"/>
    <w:rsid w:val="464A4562"/>
    <w:rsid w:val="46A3209A"/>
    <w:rsid w:val="46CC6013"/>
    <w:rsid w:val="482B56E1"/>
    <w:rsid w:val="4848609B"/>
    <w:rsid w:val="4852746A"/>
    <w:rsid w:val="4864409A"/>
    <w:rsid w:val="48961A2D"/>
    <w:rsid w:val="48C53F99"/>
    <w:rsid w:val="48C74CD3"/>
    <w:rsid w:val="48E60C18"/>
    <w:rsid w:val="49346CC6"/>
    <w:rsid w:val="49664C37"/>
    <w:rsid w:val="499A7ACA"/>
    <w:rsid w:val="4AF350DE"/>
    <w:rsid w:val="4B223C16"/>
    <w:rsid w:val="4B37566A"/>
    <w:rsid w:val="4B3F5F2B"/>
    <w:rsid w:val="4BCB614C"/>
    <w:rsid w:val="4BDC5663"/>
    <w:rsid w:val="4C7A639D"/>
    <w:rsid w:val="4CE91A69"/>
    <w:rsid w:val="4CF5205D"/>
    <w:rsid w:val="4DAC348D"/>
    <w:rsid w:val="4E0D626A"/>
    <w:rsid w:val="4E183BFE"/>
    <w:rsid w:val="4E403AAD"/>
    <w:rsid w:val="4EAD6BF5"/>
    <w:rsid w:val="4EBC0748"/>
    <w:rsid w:val="4ECB0493"/>
    <w:rsid w:val="4ECC3762"/>
    <w:rsid w:val="4EFB7EB8"/>
    <w:rsid w:val="4F2F4720"/>
    <w:rsid w:val="4F4940D8"/>
    <w:rsid w:val="4FE23640"/>
    <w:rsid w:val="4FED4605"/>
    <w:rsid w:val="50023AE7"/>
    <w:rsid w:val="503305EE"/>
    <w:rsid w:val="50561BEF"/>
    <w:rsid w:val="51F5342B"/>
    <w:rsid w:val="52332F51"/>
    <w:rsid w:val="528B5881"/>
    <w:rsid w:val="52A0415B"/>
    <w:rsid w:val="52E13353"/>
    <w:rsid w:val="52FE47AC"/>
    <w:rsid w:val="533A17A5"/>
    <w:rsid w:val="53465E28"/>
    <w:rsid w:val="534B1050"/>
    <w:rsid w:val="5370241B"/>
    <w:rsid w:val="53785E73"/>
    <w:rsid w:val="538B58DC"/>
    <w:rsid w:val="539260FB"/>
    <w:rsid w:val="53FD7C6B"/>
    <w:rsid w:val="54487F56"/>
    <w:rsid w:val="548A3477"/>
    <w:rsid w:val="54AF0073"/>
    <w:rsid w:val="550906E8"/>
    <w:rsid w:val="551B6EF1"/>
    <w:rsid w:val="552160C4"/>
    <w:rsid w:val="557E5EAF"/>
    <w:rsid w:val="55961D9B"/>
    <w:rsid w:val="55F22D46"/>
    <w:rsid w:val="56A81B8F"/>
    <w:rsid w:val="56D02FB6"/>
    <w:rsid w:val="56FE090D"/>
    <w:rsid w:val="5737759B"/>
    <w:rsid w:val="577D74E9"/>
    <w:rsid w:val="57FE2087"/>
    <w:rsid w:val="586B71C9"/>
    <w:rsid w:val="590154BD"/>
    <w:rsid w:val="59527B6B"/>
    <w:rsid w:val="59956CCF"/>
    <w:rsid w:val="59AF7439"/>
    <w:rsid w:val="59CC251A"/>
    <w:rsid w:val="59E33FF0"/>
    <w:rsid w:val="59EA54F5"/>
    <w:rsid w:val="5A5B4E1E"/>
    <w:rsid w:val="5A607799"/>
    <w:rsid w:val="5ACB3EE2"/>
    <w:rsid w:val="5AED1980"/>
    <w:rsid w:val="5B13142F"/>
    <w:rsid w:val="5B4B2BCB"/>
    <w:rsid w:val="5B98016E"/>
    <w:rsid w:val="5BEF05B4"/>
    <w:rsid w:val="5C000884"/>
    <w:rsid w:val="5C224F8E"/>
    <w:rsid w:val="5C240B88"/>
    <w:rsid w:val="5C317F92"/>
    <w:rsid w:val="5D1A0A26"/>
    <w:rsid w:val="5E0606ED"/>
    <w:rsid w:val="5E0D1B19"/>
    <w:rsid w:val="5E214E94"/>
    <w:rsid w:val="5E275C6B"/>
    <w:rsid w:val="5E553A15"/>
    <w:rsid w:val="5E5703AB"/>
    <w:rsid w:val="5E631F79"/>
    <w:rsid w:val="5E7004E1"/>
    <w:rsid w:val="5E764C6B"/>
    <w:rsid w:val="5E7F3F9B"/>
    <w:rsid w:val="5E9D4855"/>
    <w:rsid w:val="5E9E3209"/>
    <w:rsid w:val="5EB7431F"/>
    <w:rsid w:val="5ECD4C7F"/>
    <w:rsid w:val="5EEC66E6"/>
    <w:rsid w:val="5F093C78"/>
    <w:rsid w:val="5F5A1107"/>
    <w:rsid w:val="5F7E1BB9"/>
    <w:rsid w:val="5F831A12"/>
    <w:rsid w:val="5FB95F86"/>
    <w:rsid w:val="5FE1582B"/>
    <w:rsid w:val="5FF70784"/>
    <w:rsid w:val="5FF94275"/>
    <w:rsid w:val="601163AE"/>
    <w:rsid w:val="6022782B"/>
    <w:rsid w:val="6048573D"/>
    <w:rsid w:val="60FF5FDD"/>
    <w:rsid w:val="610D232E"/>
    <w:rsid w:val="617E5460"/>
    <w:rsid w:val="61E02C8B"/>
    <w:rsid w:val="625323D6"/>
    <w:rsid w:val="62547A4D"/>
    <w:rsid w:val="62813E61"/>
    <w:rsid w:val="6300246C"/>
    <w:rsid w:val="638239E5"/>
    <w:rsid w:val="638C3D00"/>
    <w:rsid w:val="63E10B0C"/>
    <w:rsid w:val="63F3279C"/>
    <w:rsid w:val="640059A5"/>
    <w:rsid w:val="640612C6"/>
    <w:rsid w:val="647A6E52"/>
    <w:rsid w:val="64EE5D8F"/>
    <w:rsid w:val="6500065A"/>
    <w:rsid w:val="6537764C"/>
    <w:rsid w:val="65E578BD"/>
    <w:rsid w:val="666A4D62"/>
    <w:rsid w:val="668A5EDC"/>
    <w:rsid w:val="66927680"/>
    <w:rsid w:val="66D06442"/>
    <w:rsid w:val="67180D7A"/>
    <w:rsid w:val="6756300A"/>
    <w:rsid w:val="67663F7B"/>
    <w:rsid w:val="6792245C"/>
    <w:rsid w:val="67AC56C6"/>
    <w:rsid w:val="6801069F"/>
    <w:rsid w:val="680F265C"/>
    <w:rsid w:val="687D6CC8"/>
    <w:rsid w:val="68BA7C55"/>
    <w:rsid w:val="68E66C0F"/>
    <w:rsid w:val="690A7BA1"/>
    <w:rsid w:val="69113DCA"/>
    <w:rsid w:val="69130912"/>
    <w:rsid w:val="69CB77D8"/>
    <w:rsid w:val="69D6627D"/>
    <w:rsid w:val="6A323B2C"/>
    <w:rsid w:val="6A524C0E"/>
    <w:rsid w:val="6AC33480"/>
    <w:rsid w:val="6AC56475"/>
    <w:rsid w:val="6B1806CB"/>
    <w:rsid w:val="6B90226A"/>
    <w:rsid w:val="6C2646D1"/>
    <w:rsid w:val="6C5A3FCD"/>
    <w:rsid w:val="6C721C9A"/>
    <w:rsid w:val="6C942E03"/>
    <w:rsid w:val="6CB62996"/>
    <w:rsid w:val="6D731B27"/>
    <w:rsid w:val="6D76258B"/>
    <w:rsid w:val="6DF27E1D"/>
    <w:rsid w:val="6E7050A9"/>
    <w:rsid w:val="6E7A59CD"/>
    <w:rsid w:val="6E9610D2"/>
    <w:rsid w:val="6E9C25A7"/>
    <w:rsid w:val="6ECD36FF"/>
    <w:rsid w:val="6F1957D5"/>
    <w:rsid w:val="6F535FB4"/>
    <w:rsid w:val="70254438"/>
    <w:rsid w:val="70810F1E"/>
    <w:rsid w:val="71754C6E"/>
    <w:rsid w:val="71DB6825"/>
    <w:rsid w:val="72014BAF"/>
    <w:rsid w:val="7275613E"/>
    <w:rsid w:val="72A04A1F"/>
    <w:rsid w:val="72F24D9D"/>
    <w:rsid w:val="733275F5"/>
    <w:rsid w:val="738026E3"/>
    <w:rsid w:val="738B62B3"/>
    <w:rsid w:val="73A979E7"/>
    <w:rsid w:val="73F31987"/>
    <w:rsid w:val="74104D2B"/>
    <w:rsid w:val="7432739D"/>
    <w:rsid w:val="744F4674"/>
    <w:rsid w:val="747927C4"/>
    <w:rsid w:val="74F11C15"/>
    <w:rsid w:val="754B170B"/>
    <w:rsid w:val="755146AE"/>
    <w:rsid w:val="756E5C26"/>
    <w:rsid w:val="756F7B86"/>
    <w:rsid w:val="75915D7B"/>
    <w:rsid w:val="759F6029"/>
    <w:rsid w:val="75A82AC5"/>
    <w:rsid w:val="75CA36CA"/>
    <w:rsid w:val="760E66A5"/>
    <w:rsid w:val="762460E6"/>
    <w:rsid w:val="763955BF"/>
    <w:rsid w:val="773A01B0"/>
    <w:rsid w:val="779A49A3"/>
    <w:rsid w:val="77BF6833"/>
    <w:rsid w:val="77D870BC"/>
    <w:rsid w:val="77FC16E5"/>
    <w:rsid w:val="78810DF7"/>
    <w:rsid w:val="78BC4EF9"/>
    <w:rsid w:val="78C17088"/>
    <w:rsid w:val="78C82F23"/>
    <w:rsid w:val="78FE0A2F"/>
    <w:rsid w:val="792F0912"/>
    <w:rsid w:val="7A383D5A"/>
    <w:rsid w:val="7A7C11A9"/>
    <w:rsid w:val="7A895DC7"/>
    <w:rsid w:val="7AC47EB7"/>
    <w:rsid w:val="7AC64F5C"/>
    <w:rsid w:val="7B0E3F66"/>
    <w:rsid w:val="7B4B68E6"/>
    <w:rsid w:val="7B5E04A9"/>
    <w:rsid w:val="7BE41421"/>
    <w:rsid w:val="7C073518"/>
    <w:rsid w:val="7C4079FA"/>
    <w:rsid w:val="7C8F2CF0"/>
    <w:rsid w:val="7CBF0CF5"/>
    <w:rsid w:val="7DDC570E"/>
    <w:rsid w:val="7E494870"/>
    <w:rsid w:val="7F270D2A"/>
    <w:rsid w:val="7FD46120"/>
    <w:rsid w:val="FB7DFF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40" w:firstLineChars="200"/>
      <w:jc w:val="both"/>
    </w:pPr>
    <w:rPr>
      <w:rFonts w:ascii="Calibri" w:hAnsi="Calibri" w:eastAsia="仿宋_GB2312" w:cs="Times New Roman"/>
      <w:kern w:val="2"/>
      <w:sz w:val="32"/>
      <w:szCs w:val="22"/>
      <w:lang w:val="en-US" w:eastAsia="zh-CN" w:bidi="ar-SA"/>
    </w:rPr>
  </w:style>
  <w:style w:type="paragraph" w:styleId="3">
    <w:name w:val="heading 1"/>
    <w:basedOn w:val="1"/>
    <w:next w:val="1"/>
    <w:qFormat/>
    <w:uiPriority w:val="0"/>
    <w:pPr>
      <w:keepNext/>
      <w:keepLines/>
      <w:spacing w:before="340" w:after="330" w:line="576" w:lineRule="auto"/>
      <w:outlineLvl w:val="0"/>
    </w:pPr>
    <w:rPr>
      <w:rFonts w:eastAsia="楷体_GB2312"/>
      <w:b/>
      <w:kern w:val="44"/>
    </w:rPr>
  </w:style>
  <w:style w:type="paragraph" w:styleId="4">
    <w:name w:val="heading 2"/>
    <w:basedOn w:val="1"/>
    <w:next w:val="1"/>
    <w:link w:val="19"/>
    <w:semiHidden/>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paragraph" w:styleId="2">
    <w:name w:val="heading 3"/>
    <w:basedOn w:val="1"/>
    <w:next w:val="1"/>
    <w:link w:val="21"/>
    <w:semiHidden/>
    <w:unhideWhenUsed/>
    <w:qFormat/>
    <w:uiPriority w:val="0"/>
    <w:pPr>
      <w:keepNext/>
      <w:keepLines/>
      <w:spacing w:before="200" w:beforeLines="0" w:beforeAutospacing="0" w:after="60" w:afterLines="0" w:afterAutospacing="0" w:line="420" w:lineRule="exact"/>
      <w:ind w:firstLine="0" w:firstLineChars="0"/>
      <w:jc w:val="left"/>
      <w:outlineLvl w:val="2"/>
    </w:pPr>
    <w:rPr>
      <w:rFonts w:hint="eastAsia" w:ascii="宋体" w:hAnsi="宋体" w:cs="Times New Roman"/>
      <w:b/>
      <w:szCs w:val="24"/>
    </w:rPr>
  </w:style>
  <w:style w:type="character" w:default="1" w:styleId="13">
    <w:name w:val="Default Paragraph Font"/>
    <w:semiHidden/>
    <w:unhideWhenUsed/>
    <w:qFormat/>
    <w:uiPriority w:val="1"/>
  </w:style>
  <w:style w:type="table" w:default="1" w:styleId="1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Body Text"/>
    <w:basedOn w:val="1"/>
    <w:qFormat/>
    <w:uiPriority w:val="0"/>
    <w:rPr>
      <w:sz w:val="28"/>
    </w:rPr>
  </w:style>
  <w:style w:type="paragraph" w:styleId="6">
    <w:name w:val="Body Text Indent"/>
    <w:basedOn w:val="1"/>
    <w:qFormat/>
    <w:uiPriority w:val="0"/>
    <w:pPr>
      <w:spacing w:before="120" w:after="120"/>
      <w:ind w:firstLine="480"/>
    </w:pPr>
    <w:rPr>
      <w:rFonts w:ascii="宋体" w:hAnsi="宋体"/>
      <w:sz w:val="24"/>
      <w:szCs w:val="20"/>
    </w:rPr>
  </w:style>
  <w:style w:type="paragraph" w:styleId="7">
    <w:name w:val="footer"/>
    <w:basedOn w:val="1"/>
    <w:link w:val="18"/>
    <w:qFormat/>
    <w:uiPriority w:val="0"/>
    <w:pPr>
      <w:tabs>
        <w:tab w:val="center" w:pos="4153"/>
        <w:tab w:val="right" w:pos="8306"/>
      </w:tabs>
      <w:snapToGrid w:val="0"/>
      <w:jc w:val="left"/>
    </w:pPr>
    <w:rPr>
      <w:sz w:val="18"/>
      <w:szCs w:val="18"/>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ind w:firstLine="0" w:firstLineChars="0"/>
      <w:jc w:val="left"/>
    </w:pPr>
    <w:rPr>
      <w:rFonts w:ascii="宋体" w:hAnsi="宋体" w:eastAsia="宋体" w:cs="宋体"/>
      <w:kern w:val="0"/>
      <w:sz w:val="24"/>
      <w:szCs w:val="24"/>
    </w:rPr>
  </w:style>
  <w:style w:type="paragraph" w:styleId="10">
    <w:name w:val="Body Text First Indent"/>
    <w:basedOn w:val="5"/>
    <w:qFormat/>
    <w:uiPriority w:val="0"/>
    <w:pPr>
      <w:ind w:firstLine="420" w:firstLineChars="100"/>
    </w:pPr>
  </w:style>
  <w:style w:type="paragraph" w:styleId="11">
    <w:name w:val="Body Text First Indent 2"/>
    <w:basedOn w:val="6"/>
    <w:next w:val="10"/>
    <w:qFormat/>
    <w:uiPriority w:val="0"/>
    <w:pPr>
      <w:spacing w:before="0"/>
      <w:ind w:left="420" w:leftChars="200" w:firstLine="420"/>
    </w:pPr>
  </w:style>
  <w:style w:type="character" w:styleId="14">
    <w:name w:val="Strong"/>
    <w:basedOn w:val="13"/>
    <w:qFormat/>
    <w:uiPriority w:val="22"/>
    <w:rPr>
      <w:b/>
      <w:bCs/>
    </w:rPr>
  </w:style>
  <w:style w:type="character" w:styleId="15">
    <w:name w:val="Hyperlink"/>
    <w:basedOn w:val="13"/>
    <w:qFormat/>
    <w:uiPriority w:val="0"/>
    <w:rPr>
      <w:color w:val="0000FF"/>
      <w:u w:val="single"/>
    </w:rPr>
  </w:style>
  <w:style w:type="paragraph" w:customStyle="1" w:styleId="16">
    <w:name w:val="本文正文"/>
    <w:basedOn w:val="1"/>
    <w:qFormat/>
    <w:uiPriority w:val="0"/>
    <w:pPr>
      <w:spacing w:line="360" w:lineRule="auto"/>
      <w:ind w:firstLine="803"/>
    </w:pPr>
    <w:rPr>
      <w:rFonts w:ascii="宋体" w:hAnsi="宋体"/>
      <w:sz w:val="24"/>
    </w:rPr>
  </w:style>
  <w:style w:type="character" w:customStyle="1" w:styleId="17">
    <w:name w:val="页眉 字符"/>
    <w:basedOn w:val="13"/>
    <w:link w:val="8"/>
    <w:qFormat/>
    <w:uiPriority w:val="0"/>
    <w:rPr>
      <w:rFonts w:ascii="Calibri" w:hAnsi="Calibri" w:eastAsia="仿宋_GB2312"/>
      <w:kern w:val="2"/>
      <w:sz w:val="18"/>
      <w:szCs w:val="18"/>
    </w:rPr>
  </w:style>
  <w:style w:type="character" w:customStyle="1" w:styleId="18">
    <w:name w:val="页脚 字符"/>
    <w:basedOn w:val="13"/>
    <w:link w:val="7"/>
    <w:qFormat/>
    <w:uiPriority w:val="0"/>
    <w:rPr>
      <w:rFonts w:ascii="Calibri" w:hAnsi="Calibri" w:eastAsia="仿宋_GB2312"/>
      <w:kern w:val="2"/>
      <w:sz w:val="18"/>
      <w:szCs w:val="18"/>
    </w:rPr>
  </w:style>
  <w:style w:type="character" w:customStyle="1" w:styleId="19">
    <w:name w:val="标题 2 字符"/>
    <w:basedOn w:val="13"/>
    <w:link w:val="4"/>
    <w:semiHidden/>
    <w:qFormat/>
    <w:uiPriority w:val="0"/>
    <w:rPr>
      <w:rFonts w:asciiTheme="majorHAnsi" w:hAnsiTheme="majorHAnsi" w:eastAsiaTheme="majorEastAsia" w:cstheme="majorBidi"/>
      <w:b/>
      <w:bCs/>
      <w:kern w:val="2"/>
      <w:sz w:val="32"/>
      <w:szCs w:val="32"/>
    </w:rPr>
  </w:style>
  <w:style w:type="paragraph" w:customStyle="1" w:styleId="20">
    <w:name w:val="列出段落2"/>
    <w:basedOn w:val="1"/>
    <w:qFormat/>
    <w:uiPriority w:val="34"/>
    <w:pPr>
      <w:ind w:firstLine="420" w:firstLineChars="200"/>
    </w:pPr>
  </w:style>
  <w:style w:type="character" w:customStyle="1" w:styleId="21">
    <w:name w:val="标题 3 字符"/>
    <w:basedOn w:val="13"/>
    <w:link w:val="2"/>
    <w:qFormat/>
    <w:uiPriority w:val="0"/>
    <w:rPr>
      <w:rFonts w:hint="default" w:ascii="Calibri" w:hAnsi="Calibri" w:cs="Calibri"/>
      <w:b/>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华测检测认证集团股份有限公司</Company>
  <Pages>9</Pages>
  <Words>3995</Words>
  <Characters>4395</Characters>
  <Lines>28</Lines>
  <Paragraphs>8</Paragraphs>
  <TotalTime>0</TotalTime>
  <ScaleCrop>false</ScaleCrop>
  <LinksUpToDate>false</LinksUpToDate>
  <CharactersWithSpaces>4434</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2020-12-18T14:54:00Z</dcterms:created>
  <dc:creator>zhenyongwen</dc:creator>
  <cp:lastModifiedBy>huangyw2</cp:lastModifiedBy>
  <dcterms:modified xsi:type="dcterms:W3CDTF">2023-02-24T11:56:51Z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2BCBADEB164F420AB7CA92621D404113</vt:lpwstr>
  </property>
  <property fmtid="{D5CDD505-2E9C-101B-9397-08002B2CF9AE}" pid="4" name="commondata">
    <vt:lpwstr>eyJoZGlkIjoiMzFkNWY3MDE3M2RiODhiZTRhOWM0N2VmNTEzZWI5MGUifQ==</vt:lpwstr>
  </property>
</Properties>
</file>